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5B02C" w14:textId="77777777" w:rsidR="00AF022F" w:rsidRDefault="00AF022F">
      <w:pPr>
        <w:pStyle w:val="BodyText"/>
        <w:ind w:left="0"/>
        <w:rPr>
          <w:sz w:val="20"/>
          <w:lang w:val="sr-Cyrl-RS"/>
        </w:rPr>
      </w:pPr>
    </w:p>
    <w:p w14:paraId="63DA1AF6" w14:textId="625761F4" w:rsidR="00843802" w:rsidRPr="00A54F50" w:rsidRDefault="00CE5810">
      <w:pPr>
        <w:pStyle w:val="BodyText"/>
        <w:ind w:left="0"/>
        <w:rPr>
          <w:sz w:val="20"/>
          <w:lang w:val="sr-Cyrl-RS"/>
        </w:rPr>
      </w:pPr>
      <w:r w:rsidRPr="00A54F50">
        <w:rPr>
          <w:noProof/>
          <w:sz w:val="20"/>
        </w:rPr>
        <w:drawing>
          <wp:anchor distT="0" distB="0" distL="0" distR="0" simplePos="0" relativeHeight="487204352" behindDoc="1" locked="0" layoutInCell="1" allowOverlap="1" wp14:anchorId="68C6C68F" wp14:editId="072324F4">
            <wp:simplePos x="0" y="0"/>
            <wp:positionH relativeFrom="page">
              <wp:posOffset>307610</wp:posOffset>
            </wp:positionH>
            <wp:positionV relativeFrom="page">
              <wp:posOffset>269802</wp:posOffset>
            </wp:positionV>
            <wp:extent cx="6972501" cy="102268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501" cy="1022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494B60" w14:textId="77777777" w:rsidR="00843802" w:rsidRPr="00A54F50" w:rsidRDefault="00843802">
      <w:pPr>
        <w:pStyle w:val="BodyText"/>
        <w:spacing w:before="109"/>
        <w:ind w:left="0"/>
        <w:rPr>
          <w:sz w:val="20"/>
          <w:lang w:val="sr-Cyrl-RS"/>
        </w:rPr>
      </w:pPr>
    </w:p>
    <w:tbl>
      <w:tblPr>
        <w:tblW w:w="0" w:type="auto"/>
        <w:tblInd w:w="7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7"/>
      </w:tblGrid>
      <w:tr w:rsidR="00843802" w:rsidRPr="00A54F50" w14:paraId="50A9A6A1" w14:textId="77777777">
        <w:trPr>
          <w:trHeight w:val="781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4A4BDB0D" w14:textId="138E8658" w:rsidR="00F66F1A" w:rsidRDefault="006E6361" w:rsidP="00F66F1A">
            <w:pPr>
              <w:pStyle w:val="TableParagraph"/>
              <w:ind w:left="202" w:right="446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Varšava</w:t>
            </w:r>
            <w:r w:rsidR="00CE5810" w:rsidRPr="00A54F50">
              <w:rPr>
                <w:sz w:val="24"/>
                <w:lang w:val="sr-Cyrl-RS"/>
              </w:rPr>
              <w:t>, 2</w:t>
            </w:r>
            <w:r w:rsidR="00F66F1A">
              <w:rPr>
                <w:sz w:val="24"/>
                <w:lang w:val="sr-Cyrl-RS"/>
              </w:rPr>
              <w:t xml:space="preserve">. </w:t>
            </w:r>
            <w:r>
              <w:rPr>
                <w:sz w:val="24"/>
                <w:lang w:val="sr-Cyrl-RS"/>
              </w:rPr>
              <w:t>jun</w:t>
            </w:r>
            <w:r w:rsidR="00CE5810" w:rsidRPr="00A54F50">
              <w:rPr>
                <w:sz w:val="24"/>
                <w:lang w:val="sr-Cyrl-RS"/>
              </w:rPr>
              <w:t xml:space="preserve"> 2025</w:t>
            </w:r>
            <w:r w:rsidR="00F66F1A">
              <w:rPr>
                <w:sz w:val="24"/>
                <w:lang w:val="sr-Cyrl-RS"/>
              </w:rPr>
              <w:t>.</w:t>
            </w:r>
            <w:r w:rsidR="00CE5810" w:rsidRPr="00A54F50">
              <w:rPr>
                <w:sz w:val="24"/>
                <w:lang w:val="sr-Cyrl-RS"/>
              </w:rPr>
              <w:t xml:space="preserve"> </w:t>
            </w:r>
          </w:p>
          <w:p w14:paraId="33DD6CF4" w14:textId="5CDDE81D" w:rsidR="00843802" w:rsidRPr="00A54F50" w:rsidRDefault="006E6361" w:rsidP="00F66F1A">
            <w:pPr>
              <w:pStyle w:val="TableParagraph"/>
              <w:ind w:left="202" w:right="446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Mišljenje</w:t>
            </w:r>
            <w:r w:rsidR="00F66F1A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broj</w:t>
            </w:r>
            <w:r w:rsidR="00CE5810" w:rsidRPr="00A54F50">
              <w:rPr>
                <w:sz w:val="24"/>
                <w:lang w:val="sr-Cyrl-RS"/>
              </w:rPr>
              <w:t>:</w:t>
            </w:r>
            <w:r w:rsidR="00CE5810" w:rsidRPr="00A54F50">
              <w:rPr>
                <w:spacing w:val="-17"/>
                <w:sz w:val="24"/>
                <w:lang w:val="sr-Cyrl-RS"/>
              </w:rPr>
              <w:t xml:space="preserve"> </w:t>
            </w:r>
            <w:r>
              <w:rPr>
                <w:spacing w:val="-17"/>
                <w:sz w:val="24"/>
                <w:lang w:val="sr-Cyrl-RS"/>
              </w:rPr>
              <w:t>ODIHR</w:t>
            </w:r>
            <w:r w:rsidR="00CE5810" w:rsidRPr="00A54F50">
              <w:rPr>
                <w:sz w:val="24"/>
                <w:lang w:val="sr-Cyrl-RS"/>
              </w:rPr>
              <w:t>-548/2025</w:t>
            </w:r>
          </w:p>
        </w:tc>
      </w:tr>
      <w:tr w:rsidR="00843802" w:rsidRPr="00A54F50" w14:paraId="75873468" w14:textId="77777777">
        <w:trPr>
          <w:trHeight w:val="3004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176A4E19" w14:textId="77777777" w:rsidR="00843802" w:rsidRPr="00A54F50" w:rsidRDefault="00843802">
            <w:pPr>
              <w:pStyle w:val="TableParagraph"/>
              <w:spacing w:before="354"/>
              <w:rPr>
                <w:rFonts w:ascii="Times New Roman"/>
                <w:sz w:val="40"/>
                <w:lang w:val="sr-Cyrl-RS"/>
              </w:rPr>
            </w:pPr>
          </w:p>
          <w:p w14:paraId="6442E63A" w14:textId="552CF7D3" w:rsidR="00843802" w:rsidRPr="00A54F50" w:rsidRDefault="006E6361">
            <w:pPr>
              <w:pStyle w:val="TableParagraph"/>
              <w:ind w:left="122"/>
              <w:rPr>
                <w:rFonts w:ascii="Arial"/>
                <w:b/>
                <w:sz w:val="40"/>
                <w:lang w:val="sr-Cyrl-RS"/>
              </w:rPr>
            </w:pPr>
            <w:r>
              <w:rPr>
                <w:rFonts w:ascii="Arial"/>
                <w:b/>
                <w:w w:val="80"/>
                <w:sz w:val="40"/>
                <w:lang w:val="sr-Cyrl-RS"/>
              </w:rPr>
              <w:t>MI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Š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LjENjE</w:t>
            </w:r>
            <w:r w:rsidR="00AF022F"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O</w:t>
            </w:r>
            <w:r w:rsidR="00AF022F"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A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Ž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URIRANOM</w:t>
            </w:r>
            <w:r w:rsidR="00AF022F"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NACRTU</w:t>
            </w:r>
            <w:r w:rsidR="00AF022F"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ZAKONA</w:t>
            </w:r>
            <w:r w:rsidR="00AF022F"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O</w:t>
            </w:r>
            <w:r w:rsidR="00AF022F"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IZMENAMA</w:t>
            </w:r>
            <w:r w:rsidR="00AF022F"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I</w:t>
            </w:r>
            <w:r w:rsidR="00AF022F"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DOPUNAMA</w:t>
            </w:r>
            <w:r w:rsidR="00AF022F"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ZAKONA</w:t>
            </w:r>
            <w:r w:rsidR="00AF022F"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O</w:t>
            </w:r>
            <w:r w:rsidR="00AF022F"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JEDINSTVENOM</w:t>
            </w:r>
            <w:r w:rsidR="00AF022F"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BIRA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Č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KOM</w:t>
            </w:r>
            <w:r w:rsidR="00AF022F"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SPISKU</w:t>
            </w:r>
          </w:p>
        </w:tc>
      </w:tr>
      <w:tr w:rsidR="00843802" w:rsidRPr="00A54F50" w14:paraId="1413EEC4" w14:textId="77777777">
        <w:trPr>
          <w:trHeight w:val="930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5EF264DA" w14:textId="08E128F0" w:rsidR="00843802" w:rsidRPr="00A54F50" w:rsidRDefault="006E6361">
            <w:pPr>
              <w:pStyle w:val="TableParagraph"/>
              <w:spacing w:before="236"/>
              <w:ind w:left="122"/>
              <w:rPr>
                <w:rFonts w:ascii="Arial"/>
                <w:b/>
                <w:sz w:val="40"/>
                <w:lang w:val="sr-Cyrl-RS"/>
              </w:rPr>
            </w:pPr>
            <w:r>
              <w:rPr>
                <w:rFonts w:ascii="Arial"/>
                <w:b/>
                <w:spacing w:val="-2"/>
                <w:w w:val="90"/>
                <w:sz w:val="40"/>
                <w:lang w:val="sr-Cyrl-RS"/>
              </w:rPr>
              <w:t>SRBIJA</w:t>
            </w:r>
          </w:p>
        </w:tc>
      </w:tr>
      <w:tr w:rsidR="00843802" w:rsidRPr="00A54F50" w14:paraId="58144934" w14:textId="77777777">
        <w:trPr>
          <w:trHeight w:val="1957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5BBB9A6F" w14:textId="77777777" w:rsidR="00843802" w:rsidRPr="00A54F50" w:rsidRDefault="00843802">
            <w:pPr>
              <w:pStyle w:val="TableParagraph"/>
              <w:spacing w:before="12"/>
              <w:rPr>
                <w:rFonts w:ascii="Times New Roman"/>
                <w:sz w:val="24"/>
                <w:lang w:val="sr-Cyrl-RS"/>
              </w:rPr>
            </w:pPr>
          </w:p>
          <w:p w14:paraId="6C19F90A" w14:textId="7C732FBB" w:rsidR="00F66F1A" w:rsidRDefault="006E6361" w:rsidP="00F66F1A">
            <w:pPr>
              <w:pStyle w:val="TableParagraph"/>
              <w:spacing w:before="220"/>
              <w:ind w:left="208" w:right="163"/>
              <w:rPr>
                <w:lang w:val="sr-Cyrl-RS"/>
              </w:rPr>
            </w:pPr>
            <w:r>
              <w:rPr>
                <w:lang w:val="sr-Cyrl-RS"/>
              </w:rPr>
              <w:t>U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ovom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mišljenju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su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iskorišćeni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prilozi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gospođe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Marle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Mori</w:t>
            </w:r>
            <w:r w:rsidR="00F66F1A">
              <w:rPr>
                <w:lang w:val="sr-Cyrl-RS"/>
              </w:rPr>
              <w:t xml:space="preserve"> (Marla Morry), </w:t>
            </w:r>
            <w:r>
              <w:rPr>
                <w:lang w:val="sr-Cyrl-RS"/>
              </w:rPr>
              <w:t>međunarodnog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pravnika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eksperta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za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izbore</w:t>
            </w:r>
          </w:p>
          <w:p w14:paraId="11527DBD" w14:textId="77777777" w:rsidR="00F66F1A" w:rsidRDefault="00F66F1A" w:rsidP="00F66F1A">
            <w:pPr>
              <w:pStyle w:val="TableParagraph"/>
              <w:ind w:left="208"/>
              <w:rPr>
                <w:lang w:val="sr-Cyrl-RS"/>
              </w:rPr>
            </w:pPr>
          </w:p>
          <w:p w14:paraId="00AF170F" w14:textId="5FC3F3B0" w:rsidR="00843802" w:rsidRPr="00A54F50" w:rsidRDefault="006E6361" w:rsidP="00F66F1A">
            <w:pPr>
              <w:pStyle w:val="TableParagraph"/>
              <w:ind w:left="208"/>
              <w:rPr>
                <w:rFonts w:ascii="Times New Roman"/>
                <w:sz w:val="24"/>
                <w:lang w:val="sr-Cyrl-RS"/>
              </w:rPr>
            </w:pPr>
            <w:r>
              <w:rPr>
                <w:lang w:val="sr-Cyrl-RS"/>
              </w:rPr>
              <w:t>Zasnovano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na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engleskom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prevodu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Nacrta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zakona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koji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je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obezbedila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Narodna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skupština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Republike</w:t>
            </w:r>
            <w:r w:rsidR="00F66F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Srbije</w:t>
            </w:r>
            <w:r w:rsidR="00CE5810" w:rsidRPr="00A54F50">
              <w:rPr>
                <w:rFonts w:ascii="Times New Roman"/>
                <w:sz w:val="24"/>
                <w:lang w:val="sr-Cyrl-RS"/>
              </w:rPr>
              <w:t>.</w:t>
            </w:r>
          </w:p>
        </w:tc>
      </w:tr>
      <w:tr w:rsidR="00843802" w:rsidRPr="00A54F50" w14:paraId="50D482F6" w14:textId="77777777">
        <w:trPr>
          <w:trHeight w:val="4756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1D4936EC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1CCCB150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73BAF8AA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66E29135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1CE99D69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494881FC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7DAF8D44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52CB590C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5E23F833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24F5AA60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7F95E349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343D737D" w14:textId="77777777" w:rsidR="00843802" w:rsidRPr="00A54F50" w:rsidRDefault="00843802">
            <w:pPr>
              <w:pStyle w:val="TableParagraph"/>
              <w:spacing w:before="115"/>
              <w:rPr>
                <w:rFonts w:ascii="Times New Roman"/>
                <w:sz w:val="20"/>
                <w:lang w:val="sr-Cyrl-RS"/>
              </w:rPr>
            </w:pPr>
          </w:p>
          <w:p w14:paraId="34844193" w14:textId="77777777" w:rsidR="00843802" w:rsidRPr="00A54F50" w:rsidRDefault="00CE5810">
            <w:pPr>
              <w:pStyle w:val="TableParagraph"/>
              <w:ind w:left="213"/>
              <w:rPr>
                <w:rFonts w:ascii="Times New Roman"/>
                <w:sz w:val="20"/>
                <w:lang w:val="sr-Cyrl-RS"/>
              </w:rPr>
            </w:pPr>
            <w:r w:rsidRPr="00A54F50">
              <w:rPr>
                <w:rFonts w:ascii="Times New Roman"/>
                <w:noProof/>
                <w:sz w:val="20"/>
              </w:rPr>
              <w:drawing>
                <wp:inline distT="0" distB="0" distL="0" distR="0" wp14:anchorId="4FAF86C8" wp14:editId="1BD282D2">
                  <wp:extent cx="967706" cy="77609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06" cy="77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802" w:rsidRPr="00A54F50" w14:paraId="377580AB" w14:textId="77777777">
        <w:trPr>
          <w:trHeight w:val="505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03B0FA0D" w14:textId="276F3F48" w:rsidR="00843802" w:rsidRPr="00A54F50" w:rsidRDefault="006E6361">
            <w:pPr>
              <w:pStyle w:val="TableParagraph"/>
              <w:spacing w:before="115"/>
              <w:ind w:left="213"/>
              <w:rPr>
                <w:sz w:val="24"/>
                <w:lang w:val="sr-Cyrl-RS"/>
              </w:rPr>
            </w:pPr>
            <w:r>
              <w:rPr>
                <w:lang w:val="sr-Cyrl-RS"/>
              </w:rPr>
              <w:t>OEBS</w:t>
            </w:r>
            <w:r w:rsidR="00F66F1A" w:rsidRPr="001A58AE">
              <w:rPr>
                <w:spacing w:val="-5"/>
                <w:lang w:val="sr-Cyrl-RS"/>
              </w:rPr>
              <w:t xml:space="preserve"> </w:t>
            </w:r>
            <w:r>
              <w:rPr>
                <w:lang w:val="sr-Cyrl-RS"/>
              </w:rPr>
              <w:t>Kancelarija</w:t>
            </w:r>
            <w:r w:rsidR="00F66F1A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za</w:t>
            </w:r>
            <w:r w:rsidR="00F66F1A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demokratske</w:t>
            </w:r>
            <w:r w:rsidR="00F66F1A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institucije</w:t>
            </w:r>
            <w:r w:rsidR="00F66F1A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="00F66F1A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ljudska</w:t>
            </w:r>
            <w:r w:rsidR="00F66F1A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prava</w:t>
            </w:r>
          </w:p>
        </w:tc>
      </w:tr>
      <w:tr w:rsidR="00843802" w:rsidRPr="00A54F50" w14:paraId="7F77061A" w14:textId="77777777">
        <w:trPr>
          <w:trHeight w:val="1333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31D5DF96" w14:textId="77777777" w:rsidR="00843802" w:rsidRPr="00A54F50" w:rsidRDefault="00CE5810">
            <w:pPr>
              <w:pStyle w:val="TableParagraph"/>
              <w:spacing w:before="115"/>
              <w:ind w:left="208"/>
              <w:rPr>
                <w:sz w:val="24"/>
                <w:lang w:val="sr-Cyrl-RS"/>
              </w:rPr>
            </w:pPr>
            <w:r w:rsidRPr="00A54F50">
              <w:rPr>
                <w:sz w:val="24"/>
                <w:lang w:val="sr-Cyrl-RS"/>
              </w:rPr>
              <w:t>Ul.</w:t>
            </w:r>
            <w:r w:rsidRPr="00A54F50">
              <w:rPr>
                <w:spacing w:val="-3"/>
                <w:sz w:val="24"/>
                <w:lang w:val="sr-Cyrl-RS"/>
              </w:rPr>
              <w:t xml:space="preserve"> </w:t>
            </w:r>
            <w:r w:rsidRPr="00A54F50">
              <w:rPr>
                <w:sz w:val="24"/>
                <w:lang w:val="sr-Cyrl-RS"/>
              </w:rPr>
              <w:t>Miodowa</w:t>
            </w:r>
            <w:r w:rsidRPr="00A54F50">
              <w:rPr>
                <w:spacing w:val="-2"/>
                <w:sz w:val="24"/>
                <w:lang w:val="sr-Cyrl-RS"/>
              </w:rPr>
              <w:t xml:space="preserve"> </w:t>
            </w:r>
            <w:r w:rsidRPr="00A54F50">
              <w:rPr>
                <w:sz w:val="24"/>
                <w:lang w:val="sr-Cyrl-RS"/>
              </w:rPr>
              <w:t>10,</w:t>
            </w:r>
            <w:r w:rsidRPr="00A54F50">
              <w:rPr>
                <w:spacing w:val="-2"/>
                <w:sz w:val="24"/>
                <w:lang w:val="sr-Cyrl-RS"/>
              </w:rPr>
              <w:t xml:space="preserve"> </w:t>
            </w:r>
            <w:r w:rsidRPr="00A54F50">
              <w:rPr>
                <w:sz w:val="24"/>
                <w:lang w:val="sr-Cyrl-RS"/>
              </w:rPr>
              <w:t>PL-00-251</w:t>
            </w:r>
            <w:r w:rsidRPr="00A54F50">
              <w:rPr>
                <w:spacing w:val="-3"/>
                <w:sz w:val="24"/>
                <w:lang w:val="sr-Cyrl-RS"/>
              </w:rPr>
              <w:t xml:space="preserve"> </w:t>
            </w:r>
            <w:r w:rsidRPr="00A54F50">
              <w:rPr>
                <w:spacing w:val="-2"/>
                <w:sz w:val="24"/>
                <w:lang w:val="sr-Cyrl-RS"/>
              </w:rPr>
              <w:t>Warsaw</w:t>
            </w:r>
          </w:p>
          <w:p w14:paraId="74EF518F" w14:textId="77777777" w:rsidR="00843802" w:rsidRPr="00A54F50" w:rsidRDefault="00CE5810">
            <w:pPr>
              <w:pStyle w:val="TableParagraph"/>
              <w:ind w:left="208"/>
              <w:rPr>
                <w:sz w:val="24"/>
                <w:lang w:val="sr-Cyrl-RS"/>
              </w:rPr>
            </w:pPr>
            <w:r w:rsidRPr="00A54F50">
              <w:rPr>
                <w:sz w:val="24"/>
                <w:lang w:val="sr-Cyrl-RS"/>
              </w:rPr>
              <w:t>Office:</w:t>
            </w:r>
            <w:r w:rsidRPr="00A54F50">
              <w:rPr>
                <w:spacing w:val="-1"/>
                <w:sz w:val="24"/>
                <w:lang w:val="sr-Cyrl-RS"/>
              </w:rPr>
              <w:t xml:space="preserve"> </w:t>
            </w:r>
            <w:r w:rsidRPr="00A54F50">
              <w:rPr>
                <w:sz w:val="24"/>
                <w:lang w:val="sr-Cyrl-RS"/>
              </w:rPr>
              <w:t>+48 22 520</w:t>
            </w:r>
            <w:r w:rsidRPr="00A54F50">
              <w:rPr>
                <w:spacing w:val="-2"/>
                <w:sz w:val="24"/>
                <w:lang w:val="sr-Cyrl-RS"/>
              </w:rPr>
              <w:t xml:space="preserve"> </w:t>
            </w:r>
            <w:r w:rsidRPr="00A54F50">
              <w:rPr>
                <w:sz w:val="24"/>
                <w:lang w:val="sr-Cyrl-RS"/>
              </w:rPr>
              <w:t>06</w:t>
            </w:r>
            <w:r w:rsidRPr="00A54F50">
              <w:rPr>
                <w:spacing w:val="-2"/>
                <w:sz w:val="24"/>
                <w:lang w:val="sr-Cyrl-RS"/>
              </w:rPr>
              <w:t xml:space="preserve"> </w:t>
            </w:r>
            <w:r w:rsidRPr="00A54F50">
              <w:rPr>
                <w:sz w:val="24"/>
                <w:lang w:val="sr-Cyrl-RS"/>
              </w:rPr>
              <w:t>00,</w:t>
            </w:r>
            <w:r w:rsidRPr="00A54F50">
              <w:rPr>
                <w:spacing w:val="-1"/>
                <w:sz w:val="24"/>
                <w:lang w:val="sr-Cyrl-RS"/>
              </w:rPr>
              <w:t xml:space="preserve"> </w:t>
            </w:r>
            <w:r w:rsidRPr="00A54F50">
              <w:rPr>
                <w:sz w:val="24"/>
                <w:lang w:val="sr-Cyrl-RS"/>
              </w:rPr>
              <w:t>Fax: +48</w:t>
            </w:r>
            <w:r w:rsidRPr="00A54F50">
              <w:rPr>
                <w:spacing w:val="-2"/>
                <w:sz w:val="24"/>
                <w:lang w:val="sr-Cyrl-RS"/>
              </w:rPr>
              <w:t xml:space="preserve"> </w:t>
            </w:r>
            <w:r w:rsidRPr="00A54F50">
              <w:rPr>
                <w:sz w:val="24"/>
                <w:lang w:val="sr-Cyrl-RS"/>
              </w:rPr>
              <w:t>22</w:t>
            </w:r>
            <w:r w:rsidRPr="00A54F50">
              <w:rPr>
                <w:spacing w:val="-2"/>
                <w:sz w:val="24"/>
                <w:lang w:val="sr-Cyrl-RS"/>
              </w:rPr>
              <w:t xml:space="preserve"> </w:t>
            </w:r>
            <w:r w:rsidRPr="00A54F50">
              <w:rPr>
                <w:sz w:val="24"/>
                <w:lang w:val="sr-Cyrl-RS"/>
              </w:rPr>
              <w:t xml:space="preserve">520 </w:t>
            </w:r>
            <w:r w:rsidRPr="00A54F50">
              <w:rPr>
                <w:spacing w:val="-4"/>
                <w:sz w:val="24"/>
                <w:lang w:val="sr-Cyrl-RS"/>
              </w:rPr>
              <w:t>0605</w:t>
            </w:r>
          </w:p>
          <w:p w14:paraId="1C18D383" w14:textId="77777777" w:rsidR="00843802" w:rsidRPr="00A54F50" w:rsidRDefault="00274FC4">
            <w:pPr>
              <w:pStyle w:val="TableParagraph"/>
              <w:ind w:left="208"/>
              <w:rPr>
                <w:sz w:val="24"/>
                <w:lang w:val="sr-Cyrl-RS"/>
              </w:rPr>
            </w:pPr>
            <w:hyperlink r:id="rId10">
              <w:r w:rsidR="00CE5810" w:rsidRPr="00A54F50">
                <w:rPr>
                  <w:spacing w:val="-2"/>
                  <w:sz w:val="24"/>
                  <w:u w:val="single"/>
                  <w:lang w:val="sr-Cyrl-RS"/>
                </w:rPr>
                <w:t>www.legislationline.org</w:t>
              </w:r>
            </w:hyperlink>
          </w:p>
        </w:tc>
      </w:tr>
    </w:tbl>
    <w:p w14:paraId="14321885" w14:textId="77777777" w:rsidR="00843802" w:rsidRPr="00A54F50" w:rsidRDefault="00843802">
      <w:pPr>
        <w:pStyle w:val="TableParagraph"/>
        <w:rPr>
          <w:sz w:val="24"/>
          <w:lang w:val="sr-Cyrl-RS"/>
        </w:rPr>
        <w:sectPr w:rsidR="00843802" w:rsidRPr="00A54F5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420" w:right="425" w:bottom="0" w:left="425" w:header="720" w:footer="720" w:gutter="0"/>
          <w:cols w:space="720"/>
        </w:sectPr>
      </w:pPr>
    </w:p>
    <w:p w14:paraId="60E37092" w14:textId="77777777" w:rsidR="00843802" w:rsidRPr="00A54F50" w:rsidRDefault="00CE5810">
      <w:pPr>
        <w:pStyle w:val="BodyText"/>
        <w:ind w:left="0"/>
        <w:rPr>
          <w:sz w:val="36"/>
          <w:lang w:val="sr-Cyrl-RS"/>
        </w:rPr>
      </w:pPr>
      <w:r w:rsidRPr="00A54F50">
        <w:rPr>
          <w:noProof/>
          <w:sz w:val="36"/>
        </w:rPr>
        <w:lastRenderedPageBreak/>
        <mc:AlternateContent>
          <mc:Choice Requires="wps">
            <w:drawing>
              <wp:anchor distT="0" distB="0" distL="0" distR="0" simplePos="0" relativeHeight="487204864" behindDoc="1" locked="0" layoutInCell="1" allowOverlap="1" wp14:anchorId="75F175CC" wp14:editId="6A4D56EA">
                <wp:simplePos x="0" y="0"/>
                <wp:positionH relativeFrom="page">
                  <wp:posOffset>810768</wp:posOffset>
                </wp:positionH>
                <wp:positionV relativeFrom="page">
                  <wp:posOffset>1088135</wp:posOffset>
                </wp:positionV>
                <wp:extent cx="6120765" cy="8379459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83794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8379459">
                              <a:moveTo>
                                <a:pt x="6120383" y="0"/>
                              </a:moveTo>
                              <a:lnTo>
                                <a:pt x="0" y="0"/>
                              </a:lnTo>
                              <a:lnTo>
                                <a:pt x="0" y="8378952"/>
                              </a:lnTo>
                              <a:lnTo>
                                <a:pt x="6120383" y="8378952"/>
                              </a:lnTo>
                              <a:lnTo>
                                <a:pt x="6120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4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B9EBDC" id="Graphic 5" o:spid="_x0000_s1026" style="position:absolute;margin-left:63.85pt;margin-top:85.7pt;width:481.95pt;height:659.8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765,837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" path="m6120383,l,,,8378952r6120383,l6120383,xe" fillcolor="#eff4f9" stroked="f">
                <v:path arrowok="t"/>
                <w10:wrap anchorx="page" anchory="page"/>
              </v:shape>
            </w:pict>
          </mc:Fallback>
        </mc:AlternateContent>
      </w:r>
    </w:p>
    <w:p w14:paraId="10626B1B" w14:textId="77777777" w:rsidR="00843802" w:rsidRPr="00A54F50" w:rsidRDefault="00843802">
      <w:pPr>
        <w:pStyle w:val="BodyText"/>
        <w:spacing w:before="315"/>
        <w:ind w:left="0"/>
        <w:rPr>
          <w:sz w:val="36"/>
          <w:lang w:val="sr-Cyrl-RS"/>
        </w:rPr>
      </w:pPr>
    </w:p>
    <w:p w14:paraId="2AB3AB06" w14:textId="71586814" w:rsidR="00843802" w:rsidRPr="00A54F50" w:rsidRDefault="006E6361">
      <w:pPr>
        <w:pStyle w:val="Title"/>
        <w:rPr>
          <w:lang w:val="sr-Cyrl-RS"/>
        </w:rPr>
      </w:pPr>
      <w:r>
        <w:rPr>
          <w:w w:val="80"/>
          <w:lang w:val="sr-Cyrl-RS"/>
        </w:rPr>
        <w:t>IZVRŠNI</w:t>
      </w:r>
      <w:r w:rsidR="00A54F50">
        <w:rPr>
          <w:w w:val="80"/>
          <w:lang w:val="sr-Cyrl-RS"/>
        </w:rPr>
        <w:t xml:space="preserve"> </w:t>
      </w:r>
      <w:r>
        <w:rPr>
          <w:w w:val="80"/>
          <w:lang w:val="sr-Cyrl-RS"/>
        </w:rPr>
        <w:t>REZIME</w:t>
      </w:r>
      <w:r w:rsidR="00A54F50">
        <w:rPr>
          <w:w w:val="80"/>
          <w:lang w:val="sr-Cyrl-RS"/>
        </w:rPr>
        <w:t xml:space="preserve"> </w:t>
      </w:r>
      <w:r>
        <w:rPr>
          <w:w w:val="80"/>
          <w:lang w:val="sr-Cyrl-RS"/>
        </w:rPr>
        <w:t>I</w:t>
      </w:r>
      <w:r w:rsidR="00A54F50">
        <w:rPr>
          <w:w w:val="80"/>
          <w:lang w:val="sr-Cyrl-RS"/>
        </w:rPr>
        <w:t xml:space="preserve"> </w:t>
      </w:r>
      <w:r>
        <w:rPr>
          <w:w w:val="80"/>
          <w:lang w:val="sr-Cyrl-RS"/>
        </w:rPr>
        <w:t>KLjUČNE</w:t>
      </w:r>
      <w:r w:rsidR="00A54F50">
        <w:rPr>
          <w:w w:val="80"/>
          <w:lang w:val="sr-Cyrl-RS"/>
        </w:rPr>
        <w:t xml:space="preserve"> </w:t>
      </w:r>
      <w:r>
        <w:rPr>
          <w:w w:val="80"/>
          <w:lang w:val="sr-Cyrl-RS"/>
        </w:rPr>
        <w:t>PREPORUKE</w:t>
      </w:r>
    </w:p>
    <w:p w14:paraId="49B4D235" w14:textId="77777777" w:rsidR="00843802" w:rsidRPr="00A54F50" w:rsidRDefault="00843802">
      <w:pPr>
        <w:pStyle w:val="BodyText"/>
        <w:spacing w:before="31"/>
        <w:ind w:left="0"/>
        <w:rPr>
          <w:rFonts w:ascii="Arial"/>
          <w:b/>
          <w:sz w:val="36"/>
          <w:lang w:val="sr-Cyrl-RS"/>
        </w:rPr>
      </w:pPr>
    </w:p>
    <w:p w14:paraId="38F10A9B" w14:textId="05C883FD" w:rsidR="00843802" w:rsidRPr="00A54F50" w:rsidRDefault="006E6361">
      <w:pPr>
        <w:pStyle w:val="BodyText"/>
        <w:ind w:left="1130" w:right="885"/>
        <w:jc w:val="both"/>
        <w:rPr>
          <w:rFonts w:ascii="Arial MT" w:hAnsi="Arial MT"/>
          <w:lang w:val="sr-Cyrl-RS"/>
        </w:rPr>
      </w:pPr>
      <w:r>
        <w:rPr>
          <w:rFonts w:ascii="Arial MT" w:hAnsi="Arial MT"/>
          <w:lang w:val="sr-Cyrl-RS"/>
        </w:rPr>
        <w:t>Jedinstveni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birački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spisak</w:t>
      </w:r>
      <w:r w:rsidR="002371ED" w:rsidRPr="00A54F50">
        <w:rPr>
          <w:rFonts w:ascii="Arial MT" w:hAnsi="Arial MT"/>
          <w:lang w:val="sr-Cyrl-RS"/>
        </w:rPr>
        <w:t xml:space="preserve"> (</w:t>
      </w:r>
      <w:r>
        <w:rPr>
          <w:rFonts w:ascii="Arial MT" w:hAnsi="Arial MT"/>
          <w:lang w:val="sr-Cyrl-RS"/>
        </w:rPr>
        <w:t>JBS</w:t>
      </w:r>
      <w:r w:rsidR="002371ED" w:rsidRPr="00A54F50">
        <w:rPr>
          <w:rFonts w:ascii="Arial MT" w:hAnsi="Arial MT"/>
          <w:lang w:val="sr-Cyrl-RS"/>
        </w:rPr>
        <w:t xml:space="preserve">) </w:t>
      </w:r>
      <w:r>
        <w:rPr>
          <w:rFonts w:ascii="Arial MT" w:hAnsi="Arial MT"/>
          <w:lang w:val="sr-Cyrl-RS"/>
        </w:rPr>
        <w:t>Republike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Srbije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predmet</w:t>
      </w:r>
      <w:r w:rsidR="00196E82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niza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dugo</w:t>
      </w:r>
      <w:r w:rsidR="00196E82" w:rsidRPr="00196E82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utvrđenih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preporuka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iznetih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izveštajima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posmatranju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izbora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OEBS</w:t>
      </w:r>
      <w:r w:rsidR="002371ED" w:rsidRPr="00A54F50">
        <w:rPr>
          <w:rFonts w:ascii="Arial MT" w:hAnsi="Arial MT"/>
          <w:lang w:val="sr-Cyrl-RS"/>
        </w:rPr>
        <w:t>-</w:t>
      </w:r>
      <w:r>
        <w:rPr>
          <w:rFonts w:ascii="Arial MT" w:hAnsi="Arial MT"/>
          <w:lang w:val="sr-Cyrl-RS"/>
        </w:rPr>
        <w:t>ove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Kancelarije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demokratske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institucije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ljudska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prava</w:t>
      </w:r>
      <w:r w:rsidR="002371ED" w:rsidRPr="00A54F50">
        <w:rPr>
          <w:rFonts w:ascii="Arial MT" w:hAnsi="Arial MT"/>
          <w:lang w:val="sr-Cyrl-RS"/>
        </w:rPr>
        <w:t xml:space="preserve"> (</w:t>
      </w:r>
      <w:r>
        <w:rPr>
          <w:rFonts w:ascii="Arial MT" w:hAnsi="Arial MT"/>
          <w:lang w:val="sr-Cyrl-RS"/>
        </w:rPr>
        <w:t>ODIHR</w:t>
      </w:r>
      <w:r w:rsidR="002371ED" w:rsidRPr="00A54F50">
        <w:rPr>
          <w:rFonts w:ascii="Arial MT" w:hAnsi="Arial MT"/>
          <w:lang w:val="sr-Cyrl-RS"/>
        </w:rPr>
        <w:t xml:space="preserve">) </w:t>
      </w:r>
      <w:r>
        <w:rPr>
          <w:rFonts w:ascii="Arial MT" w:hAnsi="Arial MT"/>
          <w:lang w:val="sr-Cyrl-RS"/>
        </w:rPr>
        <w:t>koje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odnose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poboljšanje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tačnosti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transparentnosti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biračkih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spiskova</w:t>
      </w:r>
      <w:r w:rsidR="002371ED" w:rsidRPr="00A54F50">
        <w:rPr>
          <w:rFonts w:ascii="Arial MT" w:hAnsi="Arial MT"/>
          <w:lang w:val="sr-Cyrl-RS"/>
        </w:rPr>
        <w:t xml:space="preserve">. </w:t>
      </w:r>
      <w:r>
        <w:rPr>
          <w:rFonts w:ascii="Arial MT" w:hAnsi="Arial MT"/>
          <w:lang w:val="sr-Cyrl-RS"/>
        </w:rPr>
        <w:t>ODIHR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je</w:t>
      </w:r>
      <w:r w:rsidR="002371ED" w:rsidRPr="00A54F50">
        <w:rPr>
          <w:rFonts w:ascii="Arial MT" w:hAnsi="Arial MT"/>
          <w:lang w:val="sr-Cyrl-RS"/>
        </w:rPr>
        <w:t xml:space="preserve"> 28. </w:t>
      </w:r>
      <w:r>
        <w:rPr>
          <w:rFonts w:ascii="Arial MT" w:hAnsi="Arial MT"/>
          <w:lang w:val="sr-Cyrl-RS"/>
        </w:rPr>
        <w:t>marta</w:t>
      </w:r>
      <w:r w:rsidR="002371ED" w:rsidRPr="00A54F50">
        <w:rPr>
          <w:rFonts w:ascii="Arial MT" w:hAnsi="Arial MT"/>
          <w:lang w:val="sr-Cyrl-RS"/>
        </w:rPr>
        <w:t xml:space="preserve"> 2025. </w:t>
      </w:r>
      <w:r>
        <w:rPr>
          <w:rFonts w:ascii="Arial MT" w:hAnsi="Arial MT"/>
          <w:lang w:val="sr-Cyrl-RS"/>
        </w:rPr>
        <w:t>godine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objavio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Mišljenje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Nacrt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zakona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izmenama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dopunama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Zakona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Jedinstvenom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biračkom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spisku</w:t>
      </w:r>
      <w:r w:rsidR="002371ED" w:rsidRPr="00A54F50">
        <w:rPr>
          <w:rFonts w:ascii="Arial MT" w:hAnsi="Arial MT"/>
          <w:lang w:val="sr-Cyrl-RS"/>
        </w:rPr>
        <w:t xml:space="preserve"> (</w:t>
      </w:r>
      <w:r>
        <w:rPr>
          <w:rFonts w:ascii="Arial MT" w:hAnsi="Arial MT"/>
          <w:lang w:val="sr-Cyrl-RS"/>
        </w:rPr>
        <w:t>ZJBS</w:t>
      </w:r>
      <w:r w:rsidR="002371ED" w:rsidRPr="00A54F50">
        <w:rPr>
          <w:rFonts w:ascii="Arial MT" w:hAnsi="Arial MT"/>
          <w:lang w:val="sr-Cyrl-RS"/>
        </w:rPr>
        <w:t xml:space="preserve">), </w:t>
      </w:r>
      <w:r>
        <w:rPr>
          <w:rFonts w:ascii="Arial MT" w:hAnsi="Arial MT"/>
          <w:lang w:val="sr-Cyrl-RS"/>
        </w:rPr>
        <w:t>na</w:t>
      </w:r>
      <w:r w:rsidR="00196E82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zahtev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nadležnog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skupštinski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odbor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Narodne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skupštine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Republike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Srbije</w:t>
      </w:r>
      <w:r w:rsidR="002371ED" w:rsidRPr="00A54F50">
        <w:rPr>
          <w:rFonts w:ascii="Arial MT" w:hAnsi="Arial MT"/>
          <w:lang w:val="sr-Cyrl-RS"/>
        </w:rPr>
        <w:t xml:space="preserve">. </w:t>
      </w:r>
      <w:r>
        <w:rPr>
          <w:rFonts w:ascii="Arial MT" w:hAnsi="Arial MT"/>
          <w:lang w:val="sr-Cyrl-RS"/>
        </w:rPr>
        <w:t>Na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bazi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komentara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preporuka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iznetih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Mišljenju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ODIHR</w:t>
      </w:r>
      <w:r w:rsidR="002371ED" w:rsidRPr="00A54F50">
        <w:rPr>
          <w:rFonts w:ascii="Arial MT" w:hAnsi="Arial MT"/>
          <w:lang w:val="sr-Cyrl-RS"/>
        </w:rPr>
        <w:t>-</w:t>
      </w:r>
      <w:r>
        <w:rPr>
          <w:rFonts w:ascii="Arial MT" w:hAnsi="Arial MT"/>
          <w:lang w:val="sr-Cyrl-RS"/>
        </w:rPr>
        <w:t>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iz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marta</w:t>
      </w:r>
      <w:r w:rsidR="002371ED" w:rsidRPr="00A54F50">
        <w:rPr>
          <w:rFonts w:ascii="Arial MT" w:hAnsi="Arial MT"/>
          <w:lang w:val="sr-Cyrl-RS"/>
        </w:rPr>
        <w:t xml:space="preserve"> 2025. </w:t>
      </w:r>
      <w:r>
        <w:rPr>
          <w:rFonts w:ascii="Arial MT" w:hAnsi="Arial MT"/>
          <w:lang w:val="sr-Cyrl-RS"/>
        </w:rPr>
        <w:t>godine</w:t>
      </w:r>
      <w:r w:rsidR="002371ED" w:rsidRPr="00A54F50">
        <w:rPr>
          <w:rFonts w:ascii="Arial MT" w:hAnsi="Arial MT"/>
          <w:lang w:val="sr-Cyrl-RS"/>
        </w:rPr>
        <w:t xml:space="preserve">, 29. </w:t>
      </w:r>
      <w:r>
        <w:rPr>
          <w:rFonts w:ascii="Arial MT" w:hAnsi="Arial MT"/>
          <w:lang w:val="sr-Cyrl-RS"/>
        </w:rPr>
        <w:t>aprila</w:t>
      </w:r>
      <w:r w:rsidR="002371ED" w:rsidRPr="00A54F50">
        <w:rPr>
          <w:rFonts w:ascii="Arial MT" w:hAnsi="Arial MT"/>
          <w:lang w:val="sr-Cyrl-RS"/>
        </w:rPr>
        <w:t xml:space="preserve"> 2025. </w:t>
      </w:r>
      <w:r>
        <w:rPr>
          <w:rFonts w:ascii="Arial MT" w:hAnsi="Arial MT"/>
          <w:lang w:val="sr-Cyrl-RS"/>
        </w:rPr>
        <w:t>godine</w:t>
      </w:r>
      <w:r w:rsidR="002371ED" w:rsidRPr="00A54F50">
        <w:rPr>
          <w:rFonts w:ascii="Arial MT" w:hAnsi="Arial MT"/>
          <w:lang w:val="sr-Cyrl-RS"/>
        </w:rPr>
        <w:t xml:space="preserve">, </w:t>
      </w:r>
      <w:r>
        <w:rPr>
          <w:rFonts w:ascii="Arial MT" w:hAnsi="Arial MT"/>
          <w:lang w:val="sr-Cyrl-RS"/>
        </w:rPr>
        <w:t>predsednik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Odbora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ustavna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zakonodavna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pitanja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Narodne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skupštine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Republike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Srbije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uputio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ODIHR</w:t>
      </w:r>
      <w:r w:rsidR="002371ED" w:rsidRPr="00A54F50">
        <w:rPr>
          <w:rFonts w:ascii="Arial MT" w:hAnsi="Arial MT"/>
          <w:lang w:val="sr-Cyrl-RS"/>
        </w:rPr>
        <w:t>-</w:t>
      </w:r>
      <w:r>
        <w:rPr>
          <w:rFonts w:ascii="Arial MT" w:hAnsi="Arial MT"/>
          <w:lang w:val="sr-Cyrl-RS"/>
        </w:rPr>
        <w:t>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naredni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zahtev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pravnu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reviziju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ažurirane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verzije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Nacrta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zakona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izmenama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dopunama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Zakona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izmenama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dopunama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ZJBS</w:t>
      </w:r>
      <w:r w:rsidR="002371ED" w:rsidRPr="00A54F50">
        <w:rPr>
          <w:rFonts w:ascii="Arial MT" w:hAnsi="Arial MT"/>
          <w:lang w:val="sr-Cyrl-RS"/>
        </w:rPr>
        <w:t>-</w:t>
      </w:r>
      <w:r>
        <w:rPr>
          <w:rFonts w:ascii="Arial MT" w:hAnsi="Arial MT"/>
          <w:lang w:val="sr-Cyrl-RS"/>
        </w:rPr>
        <w:t>a</w:t>
      </w:r>
      <w:r w:rsidR="00F51976">
        <w:rPr>
          <w:rFonts w:ascii="Arial MT" w:hAnsi="Arial MT"/>
          <w:lang w:val="sr-Cyrl-RS"/>
        </w:rPr>
        <w:t xml:space="preserve"> („</w:t>
      </w:r>
      <w:r>
        <w:rPr>
          <w:rFonts w:ascii="Arial MT" w:hAnsi="Arial MT"/>
          <w:lang w:val="sr-Cyrl-RS"/>
        </w:rPr>
        <w:t>ažurirani</w:t>
      </w:r>
      <w:r w:rsidR="00F51976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Nacrt</w:t>
      </w:r>
      <w:r w:rsidR="00F51976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zakona</w:t>
      </w:r>
      <w:r w:rsidR="00F51976">
        <w:rPr>
          <w:rFonts w:ascii="Arial MT" w:hAnsi="Arial MT"/>
          <w:lang w:val="sr-Cyrl-RS"/>
        </w:rPr>
        <w:t>“)</w:t>
      </w:r>
      <w:r w:rsidR="002371ED" w:rsidRPr="00A54F50">
        <w:rPr>
          <w:rFonts w:ascii="Arial MT" w:hAnsi="Arial MT"/>
          <w:lang w:val="sr-Cyrl-RS"/>
        </w:rPr>
        <w:t>.</w:t>
      </w:r>
    </w:p>
    <w:p w14:paraId="12309D80" w14:textId="77777777" w:rsidR="00843802" w:rsidRPr="00A54F50" w:rsidRDefault="00843802">
      <w:pPr>
        <w:pStyle w:val="BodyText"/>
        <w:ind w:left="0"/>
        <w:rPr>
          <w:rFonts w:ascii="Arial MT"/>
          <w:lang w:val="sr-Cyrl-RS"/>
        </w:rPr>
      </w:pPr>
    </w:p>
    <w:p w14:paraId="52592018" w14:textId="56A2662D" w:rsidR="002371ED" w:rsidRPr="00A54F50" w:rsidRDefault="006E6361" w:rsidP="002371ED">
      <w:pPr>
        <w:pStyle w:val="BodyText"/>
        <w:ind w:left="1130" w:right="982"/>
        <w:jc w:val="both"/>
        <w:rPr>
          <w:rFonts w:ascii="Arial MT" w:hAnsi="Arial MT"/>
          <w:lang w:val="sr-Cyrl-RS"/>
        </w:rPr>
      </w:pPr>
      <w:r>
        <w:rPr>
          <w:rFonts w:ascii="Arial MT" w:hAnsi="Arial MT"/>
          <w:lang w:val="sr-Cyrl-RS"/>
        </w:rPr>
        <w:t>ODIHR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pozdravlja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to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što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ažuriranim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Nacrtom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zakona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ispunjene</w:t>
      </w:r>
      <w:r w:rsidR="00F51976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neke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od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ključnih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preporuka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iznetih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Mišljenju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iz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marta</w:t>
      </w:r>
      <w:r w:rsidR="002371ED" w:rsidRPr="00A54F50">
        <w:rPr>
          <w:rFonts w:ascii="Arial MT" w:hAnsi="Arial MT"/>
          <w:lang w:val="sr-Cyrl-RS"/>
        </w:rPr>
        <w:t xml:space="preserve"> 2025. </w:t>
      </w:r>
      <w:r>
        <w:rPr>
          <w:rFonts w:ascii="Arial MT" w:hAnsi="Arial MT"/>
          <w:lang w:val="sr-Cyrl-RS"/>
        </w:rPr>
        <w:t>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kojem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ocenjivana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prethodna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verzija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nacrta</w:t>
      </w:r>
      <w:r w:rsidR="002371ED" w:rsidRPr="00A54F50">
        <w:rPr>
          <w:rFonts w:ascii="Arial MT" w:hAnsi="Arial MT"/>
          <w:lang w:val="sr-Cyrl-RS"/>
        </w:rPr>
        <w:t xml:space="preserve">, </w:t>
      </w:r>
      <w:r>
        <w:rPr>
          <w:rFonts w:ascii="Arial MT" w:hAnsi="Arial MT"/>
          <w:lang w:val="sr-Cyrl-RS"/>
        </w:rPr>
        <w:t>uključujući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proširenje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odredbi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javnom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uvidu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JBS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uvođenje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dugoročnih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mera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reviziju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JBS</w:t>
      </w:r>
      <w:r w:rsidR="002371ED" w:rsidRPr="00A54F50">
        <w:rPr>
          <w:rFonts w:ascii="Arial MT" w:hAnsi="Arial MT"/>
          <w:lang w:val="sr-Cyrl-RS"/>
        </w:rPr>
        <w:t xml:space="preserve">. </w:t>
      </w:r>
      <w:r>
        <w:rPr>
          <w:rFonts w:ascii="Arial MT" w:hAnsi="Arial MT"/>
          <w:lang w:val="sr-Cyrl-RS"/>
        </w:rPr>
        <w:t>Međutim</w:t>
      </w:r>
      <w:r w:rsidR="002371ED" w:rsidRPr="00A54F50">
        <w:rPr>
          <w:rFonts w:ascii="Arial MT" w:hAnsi="Arial MT"/>
          <w:lang w:val="sr-Cyrl-RS"/>
        </w:rPr>
        <w:t xml:space="preserve">, </w:t>
      </w:r>
      <w:r>
        <w:rPr>
          <w:rFonts w:ascii="Arial MT" w:hAnsi="Arial MT"/>
          <w:lang w:val="sr-Cyrl-RS"/>
        </w:rPr>
        <w:t>u</w:t>
      </w:r>
      <w:r w:rsidR="00F51976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daljem</w:t>
      </w:r>
      <w:r w:rsidR="00F51976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razvijanju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Nacrta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zakona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nisu</w:t>
      </w:r>
      <w:r w:rsidR="00F51976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rešeni</w:t>
      </w:r>
      <w:r w:rsidR="00F51976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zakonodavni</w:t>
      </w:r>
      <w:r w:rsidR="00F51976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proceduralni</w:t>
      </w:r>
      <w:r w:rsidR="00F51976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nedostaci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koji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identifikovani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navedeni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Mišljenju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prethodnom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Nacrtu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nije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načinjen</w:t>
      </w:r>
      <w:r w:rsidR="00710E27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napor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da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prvobitna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radna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grupa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ponovo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uključi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njegovu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reviziju</w:t>
      </w:r>
      <w:r w:rsidR="002371ED" w:rsidRPr="00A54F50">
        <w:rPr>
          <w:rFonts w:ascii="Arial MT" w:hAnsi="Arial MT"/>
          <w:lang w:val="sr-Cyrl-RS"/>
        </w:rPr>
        <w:t xml:space="preserve">. </w:t>
      </w:r>
      <w:r>
        <w:rPr>
          <w:rFonts w:ascii="Arial MT" w:hAnsi="Arial MT"/>
          <w:lang w:val="sr-Cyrl-RS"/>
        </w:rPr>
        <w:t>Novim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predlogom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Nacrta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zakona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nadležnost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vršenje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periodičnih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revizija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JBS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poverava</w:t>
      </w:r>
      <w:r w:rsidR="00710E27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se</w:t>
      </w:r>
      <w:r w:rsidR="00710E27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Republičkoj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izbornoj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komisiji</w:t>
      </w:r>
      <w:r w:rsidR="002371ED" w:rsidRPr="00A54F50">
        <w:rPr>
          <w:rFonts w:ascii="Arial MT" w:hAnsi="Arial MT"/>
          <w:lang w:val="sr-Cyrl-RS"/>
        </w:rPr>
        <w:t xml:space="preserve"> (</w:t>
      </w:r>
      <w:r>
        <w:rPr>
          <w:rFonts w:ascii="Arial MT" w:hAnsi="Arial MT"/>
          <w:lang w:val="sr-Cyrl-RS"/>
        </w:rPr>
        <w:t>RIK</w:t>
      </w:r>
      <w:r w:rsidR="002371ED" w:rsidRPr="00A54F50">
        <w:rPr>
          <w:rFonts w:ascii="Arial MT" w:hAnsi="Arial MT"/>
          <w:lang w:val="sr-Cyrl-RS"/>
        </w:rPr>
        <w:t xml:space="preserve">). </w:t>
      </w:r>
      <w:r>
        <w:rPr>
          <w:rFonts w:ascii="Arial MT" w:hAnsi="Arial MT"/>
          <w:lang w:val="sr-Cyrl-RS"/>
        </w:rPr>
        <w:t>Međutim</w:t>
      </w:r>
      <w:r w:rsidR="002371ED" w:rsidRPr="00A54F50">
        <w:rPr>
          <w:rFonts w:ascii="Arial MT" w:hAnsi="Arial MT"/>
          <w:lang w:val="sr-Cyrl-RS"/>
        </w:rPr>
        <w:t xml:space="preserve">, </w:t>
      </w:r>
      <w:r>
        <w:rPr>
          <w:rFonts w:ascii="Arial MT" w:hAnsi="Arial MT"/>
          <w:lang w:val="sr-Cyrl-RS"/>
        </w:rPr>
        <w:t>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prethodnim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izveštajima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ODIHR</w:t>
      </w:r>
      <w:r w:rsidR="002371ED" w:rsidRPr="00A54F50">
        <w:rPr>
          <w:rFonts w:ascii="Arial MT" w:hAnsi="Arial MT"/>
          <w:lang w:val="sr-Cyrl-RS"/>
        </w:rPr>
        <w:t>-</w:t>
      </w:r>
      <w:r>
        <w:rPr>
          <w:rFonts w:ascii="Arial MT" w:hAnsi="Arial MT"/>
          <w:lang w:val="sr-Cyrl-RS"/>
        </w:rPr>
        <w:t>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navedeno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je</w:t>
      </w:r>
      <w:r w:rsidR="00710E27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da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RIK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ima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ograničene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ljudske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finansijske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resurse</w:t>
      </w:r>
      <w:r w:rsidR="002371ED" w:rsidRPr="00A54F50">
        <w:rPr>
          <w:rFonts w:ascii="Arial MT" w:hAnsi="Arial MT"/>
          <w:lang w:val="sr-Cyrl-RS"/>
        </w:rPr>
        <w:t xml:space="preserve">, </w:t>
      </w:r>
      <w:r>
        <w:rPr>
          <w:rFonts w:ascii="Arial MT" w:hAnsi="Arial MT"/>
          <w:lang w:val="sr-Cyrl-RS"/>
        </w:rPr>
        <w:t>što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ometa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njenu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sposobnost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da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održivo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unapređuje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svoj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rad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između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izbornih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perioda</w:t>
      </w:r>
      <w:r w:rsidR="002371ED" w:rsidRPr="00A54F50">
        <w:rPr>
          <w:rFonts w:ascii="Arial MT" w:hAnsi="Arial MT"/>
          <w:lang w:val="sr-Cyrl-RS"/>
        </w:rPr>
        <w:t xml:space="preserve">. </w:t>
      </w:r>
      <w:r>
        <w:rPr>
          <w:rFonts w:ascii="Arial MT" w:hAnsi="Arial MT"/>
          <w:lang w:val="sr-Cyrl-RS"/>
        </w:rPr>
        <w:t>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vezi</w:t>
      </w:r>
      <w:r w:rsidR="00710E27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toga</w:t>
      </w:r>
      <w:r w:rsidR="002371ED" w:rsidRPr="00A54F50">
        <w:rPr>
          <w:rFonts w:ascii="Arial MT" w:hAnsi="Arial MT"/>
          <w:lang w:val="sr-Cyrl-RS"/>
        </w:rPr>
        <w:t xml:space="preserve">, </w:t>
      </w:r>
      <w:r>
        <w:rPr>
          <w:rFonts w:ascii="Arial MT" w:hAnsi="Arial MT"/>
          <w:lang w:val="sr-Cyrl-RS"/>
        </w:rPr>
        <w:t>ODIHR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preporučuje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da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srpski</w:t>
      </w:r>
      <w:r w:rsidR="00710E27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organi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vlasti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razmotre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poveravanje</w:t>
      </w:r>
      <w:r w:rsidR="00710E27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trajne</w:t>
      </w:r>
      <w:r w:rsidR="00710E27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ili</w:t>
      </w:r>
      <w:r w:rsidR="00710E27">
        <w:rPr>
          <w:rFonts w:ascii="Arial MT" w:hAnsi="Arial MT"/>
          <w:lang w:val="sr-Cyrl-RS"/>
        </w:rPr>
        <w:t xml:space="preserve"> </w:t>
      </w:r>
      <w:r w:rsidR="00710E27" w:rsidRPr="007478C2">
        <w:rPr>
          <w:rFonts w:ascii="Arial MT" w:hAnsi="Arial MT"/>
          <w:i/>
          <w:iCs/>
          <w:lang w:val="sr-Latn-RS"/>
        </w:rPr>
        <w:t>ad hoc</w:t>
      </w:r>
      <w:r w:rsidR="00710E27">
        <w:rPr>
          <w:rFonts w:ascii="Arial MT" w:hAnsi="Arial MT"/>
          <w:lang w:val="sr-Latn-RS"/>
        </w:rPr>
        <w:t xml:space="preserve"> </w:t>
      </w:r>
      <w:r>
        <w:rPr>
          <w:rFonts w:ascii="Arial MT" w:hAnsi="Arial MT"/>
          <w:lang w:val="sr-Cyrl-RS"/>
        </w:rPr>
        <w:t>nadležnosti</w:t>
      </w:r>
      <w:r w:rsidR="00710E27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</w:t>
      </w:r>
      <w:r w:rsidR="00710E27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periodičnu</w:t>
      </w:r>
      <w:r w:rsidR="00710E27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reviziju</w:t>
      </w:r>
      <w:r w:rsidR="00710E27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JBS</w:t>
      </w:r>
      <w:r w:rsidR="007478C2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drugom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nezavisnom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telu</w:t>
      </w:r>
      <w:r w:rsidR="002371ED" w:rsidRPr="00A54F50">
        <w:rPr>
          <w:rFonts w:ascii="Arial MT" w:hAnsi="Arial MT"/>
          <w:lang w:val="sr-Cyrl-RS"/>
        </w:rPr>
        <w:t xml:space="preserve">, </w:t>
      </w:r>
      <w:r>
        <w:rPr>
          <w:rFonts w:ascii="Arial MT" w:hAnsi="Arial MT"/>
          <w:lang w:val="sr-Cyrl-RS"/>
        </w:rPr>
        <w:t>kao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što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privremena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komisija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</w:t>
      </w:r>
      <w:r w:rsidR="007478C2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sprovođenje</w:t>
      </w:r>
      <w:r w:rsidR="007478C2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prve</w:t>
      </w:r>
      <w:r w:rsidR="007478C2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revizije</w:t>
      </w:r>
      <w:r w:rsidR="007478C2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predložena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Nacrtu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zakona</w:t>
      </w:r>
      <w:r w:rsidR="002371ED" w:rsidRPr="00A54F50">
        <w:rPr>
          <w:rFonts w:ascii="Arial MT" w:hAnsi="Arial MT"/>
          <w:lang w:val="sr-Cyrl-RS"/>
        </w:rPr>
        <w:t xml:space="preserve">, </w:t>
      </w:r>
      <w:r>
        <w:rPr>
          <w:rFonts w:ascii="Arial MT" w:hAnsi="Arial MT"/>
          <w:lang w:val="sr-Cyrl-RS"/>
        </w:rPr>
        <w:t>kako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bi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obezbedio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njen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kvalitet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</w:t>
      </w:r>
      <w:r w:rsidR="002371ED" w:rsidRPr="00A54F50">
        <w:rPr>
          <w:rFonts w:ascii="Arial MT" w:hAnsi="Arial MT"/>
          <w:lang w:val="sr-Cyrl-RS"/>
        </w:rPr>
        <w:t xml:space="preserve">, </w:t>
      </w:r>
      <w:r>
        <w:rPr>
          <w:rFonts w:ascii="Arial MT" w:hAnsi="Arial MT"/>
          <w:lang w:val="sr-Cyrl-RS"/>
        </w:rPr>
        <w:t>s</w:t>
      </w:r>
      <w:r w:rsidR="007478C2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druge</w:t>
      </w:r>
      <w:r w:rsidR="007478C2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strane</w:t>
      </w:r>
      <w:r w:rsidR="002371ED" w:rsidRPr="00A54F50">
        <w:rPr>
          <w:rFonts w:ascii="Arial MT" w:hAnsi="Arial MT"/>
          <w:lang w:val="sr-Cyrl-RS"/>
        </w:rPr>
        <w:t xml:space="preserve">, </w:t>
      </w:r>
      <w:r>
        <w:rPr>
          <w:rFonts w:ascii="Arial MT" w:hAnsi="Arial MT"/>
          <w:lang w:val="sr-Cyrl-RS"/>
        </w:rPr>
        <w:t>povećalo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poverenje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javnosti</w:t>
      </w:r>
      <w:r w:rsidR="002371ED" w:rsidRPr="00A54F50">
        <w:rPr>
          <w:rFonts w:ascii="Arial MT" w:hAnsi="Arial MT"/>
          <w:lang w:val="sr-Cyrl-RS"/>
        </w:rPr>
        <w:t xml:space="preserve">. </w:t>
      </w:r>
      <w:r>
        <w:rPr>
          <w:rFonts w:ascii="Arial MT" w:hAnsi="Arial MT"/>
          <w:lang w:val="sr-Cyrl-RS"/>
        </w:rPr>
        <w:t>Ako</w:t>
      </w:r>
      <w:r w:rsidR="007478C2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se</w:t>
      </w:r>
      <w:r w:rsidR="007478C2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zadrži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odluka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da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ovaj</w:t>
      </w:r>
      <w:r w:rsidR="007478C2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zadatak</w:t>
      </w:r>
      <w:r w:rsidR="007478C2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poveri</w:t>
      </w:r>
      <w:r w:rsidR="007478C2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RIK</w:t>
      </w:r>
      <w:r w:rsidR="002371ED" w:rsidRPr="00A54F50">
        <w:rPr>
          <w:rFonts w:ascii="Arial MT" w:hAnsi="Arial MT"/>
          <w:lang w:val="sr-Cyrl-RS"/>
        </w:rPr>
        <w:t>-</w:t>
      </w:r>
      <w:r>
        <w:rPr>
          <w:rFonts w:ascii="Arial MT" w:hAnsi="Arial MT"/>
          <w:lang w:val="sr-Cyrl-RS"/>
        </w:rPr>
        <w:t>u</w:t>
      </w:r>
      <w:r w:rsidR="002371ED" w:rsidRPr="00A54F50">
        <w:rPr>
          <w:rFonts w:ascii="Arial MT" w:hAnsi="Arial MT"/>
          <w:lang w:val="sr-Cyrl-RS"/>
        </w:rPr>
        <w:t xml:space="preserve">, </w:t>
      </w:r>
      <w:r>
        <w:rPr>
          <w:rFonts w:ascii="Arial MT" w:hAnsi="Arial MT"/>
          <w:lang w:val="sr-Cyrl-RS"/>
        </w:rPr>
        <w:t>ODIHR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preporučuje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da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se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obezbede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dovoljni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ljudski</w:t>
      </w:r>
      <w:r w:rsidR="002371ED" w:rsidRPr="00A54F50">
        <w:rPr>
          <w:rFonts w:ascii="Arial MT" w:hAnsi="Arial MT"/>
          <w:lang w:val="sr-Cyrl-RS"/>
        </w:rPr>
        <w:t xml:space="preserve">, </w:t>
      </w:r>
      <w:r>
        <w:rPr>
          <w:rFonts w:ascii="Arial MT" w:hAnsi="Arial MT"/>
          <w:lang w:val="sr-Cyrl-RS"/>
        </w:rPr>
        <w:t>tehnički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finansijski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resursi</w:t>
      </w:r>
      <w:r w:rsidR="002371ED" w:rsidRPr="00A54F50">
        <w:rPr>
          <w:rFonts w:ascii="Arial MT" w:hAnsi="Arial MT"/>
          <w:lang w:val="sr-Cyrl-RS"/>
        </w:rPr>
        <w:t xml:space="preserve">, </w:t>
      </w:r>
      <w:r>
        <w:rPr>
          <w:rFonts w:ascii="Arial MT" w:hAnsi="Arial MT"/>
          <w:lang w:val="sr-Cyrl-RS"/>
        </w:rPr>
        <w:t>kao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dodatne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garancije</w:t>
      </w:r>
      <w:r w:rsidR="007478C2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nepristrasnosti</w:t>
      </w:r>
      <w:r w:rsidR="002371ED" w:rsidRPr="00A54F50">
        <w:rPr>
          <w:rFonts w:ascii="Arial MT" w:hAnsi="Arial MT"/>
          <w:lang w:val="sr-Cyrl-RS"/>
        </w:rPr>
        <w:t xml:space="preserve"> </w:t>
      </w:r>
      <w:r>
        <w:rPr>
          <w:rFonts w:ascii="Arial MT" w:hAnsi="Arial MT"/>
          <w:lang w:val="sr-Cyrl-RS"/>
        </w:rPr>
        <w:t>revizije</w:t>
      </w:r>
      <w:r w:rsidR="007478C2">
        <w:rPr>
          <w:rFonts w:ascii="Arial MT" w:hAnsi="Arial MT"/>
          <w:lang w:val="sr-Cyrl-RS"/>
        </w:rPr>
        <w:t>.</w:t>
      </w:r>
    </w:p>
    <w:p w14:paraId="35850AEA" w14:textId="77777777" w:rsidR="002371ED" w:rsidRPr="00A54F50" w:rsidRDefault="002371ED" w:rsidP="002371ED">
      <w:pPr>
        <w:pStyle w:val="BodyText"/>
        <w:ind w:left="1130" w:right="982"/>
        <w:jc w:val="both"/>
        <w:rPr>
          <w:rFonts w:ascii="Arial MT" w:hAnsi="Arial MT"/>
          <w:lang w:val="sr-Cyrl-RS"/>
        </w:rPr>
      </w:pPr>
    </w:p>
    <w:p w14:paraId="006988B0" w14:textId="3A21BCBC" w:rsidR="00843802" w:rsidRPr="00A54F50" w:rsidRDefault="006E6361" w:rsidP="002371ED">
      <w:pPr>
        <w:pStyle w:val="BodyText"/>
        <w:ind w:left="1130" w:right="982"/>
        <w:jc w:val="both"/>
        <w:rPr>
          <w:rFonts w:ascii="Arial MT" w:hAnsi="Arial MT"/>
          <w:lang w:val="sr-Cyrl-RS"/>
        </w:rPr>
      </w:pPr>
      <w:r>
        <w:rPr>
          <w:rFonts w:ascii="Arial" w:hAnsi="Arial" w:cs="Arial"/>
          <w:lang w:val="sr-Cyrl-RS"/>
        </w:rPr>
        <w:t>Takođe</w:t>
      </w:r>
      <w:r w:rsidR="002371ED" w:rsidRPr="00A54F5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ODIHR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konstatuje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neke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preporuka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iznetih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njegovom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Mišljenju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marta</w:t>
      </w:r>
      <w:r w:rsidR="002371ED" w:rsidRPr="00A54F50">
        <w:rPr>
          <w:rFonts w:ascii="Arial" w:hAnsi="Arial" w:cs="Arial"/>
          <w:lang w:val="sr-Cyrl-RS"/>
        </w:rPr>
        <w:t xml:space="preserve"> 2025. </w:t>
      </w:r>
      <w:r>
        <w:rPr>
          <w:rFonts w:ascii="Arial" w:hAnsi="Arial" w:cs="Arial"/>
          <w:lang w:val="sr-Cyrl-RS"/>
        </w:rPr>
        <w:t>godine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ostale</w:t>
      </w:r>
      <w:r w:rsidR="007478C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nerešene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ili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delimično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ispunjene</w:t>
      </w:r>
      <w:r w:rsidR="002371ED" w:rsidRPr="00A54F5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kao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što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proširenje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odredbi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zaštiti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podataka</w:t>
      </w:r>
      <w:r w:rsidR="007478C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478C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ličnosti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vezi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pristupom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uvidom</w:t>
      </w:r>
      <w:r w:rsidR="00754E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podatke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upisu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birača</w:t>
      </w:r>
      <w:r w:rsidR="002371ED" w:rsidRPr="00A54F5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sastavu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ovlašćenjima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predložene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komisije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reviziju</w:t>
      </w:r>
      <w:r w:rsidR="002371ED" w:rsidRPr="00A54F5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utvrđivanju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učestalosti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sprovođenja</w:t>
      </w:r>
      <w:r w:rsidR="00754E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dugoročnih</w:t>
      </w:r>
      <w:r w:rsidR="00754E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mera</w:t>
      </w:r>
      <w:r w:rsidR="00754E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revizije</w:t>
      </w:r>
      <w:r w:rsidR="00754E8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i</w:t>
      </w:r>
      <w:r w:rsidR="00754E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54E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unapređenju</w:t>
      </w:r>
      <w:r w:rsidR="00754E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transprentnosti</w:t>
      </w:r>
      <w:r w:rsidR="00754E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postupka</w:t>
      </w:r>
      <w:r w:rsidR="00754E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revizije</w:t>
      </w:r>
      <w:r w:rsidR="00754E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54E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akreditovane</w:t>
      </w:r>
      <w:r w:rsidR="00754E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posmatrače</w:t>
      </w:r>
      <w:r w:rsidR="002371ED" w:rsidRPr="00A54F50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U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kontekstu</w:t>
      </w:r>
      <w:r w:rsidR="002371ED" w:rsidRPr="00A54F5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ODIHR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poziva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srpske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organe</w:t>
      </w:r>
      <w:r w:rsidR="00754E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vlasti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dalje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razmotre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preostale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preporuke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kako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Nacrt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uskladio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međunarodnim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standardima</w:t>
      </w:r>
      <w:r w:rsidR="002371ED" w:rsidRPr="00A54F5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obavezama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C5A9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okviru</w:t>
      </w:r>
      <w:r w:rsidR="004C5A9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OEBS</w:t>
      </w:r>
      <w:r w:rsidR="002371ED" w:rsidRPr="00A54F50">
        <w:rPr>
          <w:rFonts w:ascii="Arial" w:hAnsi="Arial" w:cs="Arial"/>
          <w:lang w:val="sr-Cyrl-RS"/>
        </w:rPr>
        <w:t>-</w:t>
      </w:r>
      <w:r>
        <w:rPr>
          <w:rFonts w:ascii="Arial" w:hAnsi="Arial" w:cs="Arial"/>
          <w:lang w:val="sr-Cyrl-RS"/>
        </w:rPr>
        <w:t>a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dobrom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praksom</w:t>
      </w:r>
      <w:r w:rsidR="002371ED" w:rsidRPr="00A54F50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Osim</w:t>
      </w:r>
      <w:r w:rsidR="00754E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toga</w:t>
      </w:r>
      <w:r w:rsidR="00754E8F">
        <w:rPr>
          <w:rFonts w:ascii="Arial" w:hAnsi="Arial" w:cs="Arial"/>
          <w:lang w:val="sr-Cyrl-RS"/>
        </w:rPr>
        <w:t>,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neke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izmena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754E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aktuelnom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Nacrtu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izazvale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nove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zabrinutosti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usled</w:t>
      </w:r>
      <w:r w:rsidR="00754E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kojih</w:t>
      </w:r>
      <w:r w:rsidR="00754E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54E8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dato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nekoliko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dodatnih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preporuka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cilju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poboljšanja</w:t>
      </w:r>
      <w:r w:rsidR="002371ED" w:rsidRPr="00A54F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Nacrta</w:t>
      </w:r>
      <w:r w:rsidR="002371ED" w:rsidRPr="00A54F50">
        <w:rPr>
          <w:rFonts w:ascii="Arial MT"/>
          <w:lang w:val="sr-Cyrl-RS"/>
        </w:rPr>
        <w:t>.</w:t>
      </w:r>
    </w:p>
    <w:p w14:paraId="6BAD67A1" w14:textId="77777777" w:rsidR="00843802" w:rsidRPr="00A54F50" w:rsidRDefault="00843802">
      <w:pPr>
        <w:pStyle w:val="BodyText"/>
        <w:jc w:val="both"/>
        <w:rPr>
          <w:rFonts w:ascii="Arial MT"/>
          <w:lang w:val="sr-Cyrl-RS"/>
        </w:rPr>
        <w:sectPr w:rsidR="00843802" w:rsidRPr="00A54F50">
          <w:headerReference w:type="default" r:id="rId17"/>
          <w:footerReference w:type="default" r:id="rId18"/>
          <w:pgSz w:w="11910" w:h="16840"/>
          <w:pgMar w:top="920" w:right="425" w:bottom="1140" w:left="425" w:header="725" w:footer="946" w:gutter="0"/>
          <w:pgNumType w:start="2"/>
          <w:cols w:space="720"/>
        </w:sectPr>
      </w:pPr>
    </w:p>
    <w:p w14:paraId="766D8552" w14:textId="77777777" w:rsidR="00843802" w:rsidRPr="00A54F50" w:rsidRDefault="00843802">
      <w:pPr>
        <w:pStyle w:val="BodyText"/>
        <w:spacing w:before="108"/>
        <w:ind w:left="0"/>
        <w:rPr>
          <w:rFonts w:ascii="Arial MT"/>
          <w:lang w:val="sr-Cyrl-RS"/>
        </w:rPr>
      </w:pPr>
    </w:p>
    <w:p w14:paraId="62A0905A" w14:textId="5DCFF549" w:rsidR="00843802" w:rsidRPr="00F76537" w:rsidRDefault="00CE5810">
      <w:pPr>
        <w:pStyle w:val="BodyText"/>
        <w:ind w:left="1132" w:right="991"/>
        <w:jc w:val="both"/>
        <w:rPr>
          <w:rFonts w:ascii="Arial" w:hAnsi="Arial" w:cs="Arial"/>
          <w:lang w:val="sr-Cyrl-RS"/>
        </w:rPr>
      </w:pPr>
      <w:r w:rsidRPr="00A54F50"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487205888" behindDoc="1" locked="0" layoutInCell="1" allowOverlap="1" wp14:anchorId="1897AC5E" wp14:editId="340C4AA4">
                <wp:simplePos x="0" y="0"/>
                <wp:positionH relativeFrom="page">
                  <wp:posOffset>810768</wp:posOffset>
                </wp:positionH>
                <wp:positionV relativeFrom="paragraph">
                  <wp:posOffset>-72974</wp:posOffset>
                </wp:positionV>
                <wp:extent cx="6120765" cy="5977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5977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5977255">
                              <a:moveTo>
                                <a:pt x="6120383" y="0"/>
                              </a:moveTo>
                              <a:lnTo>
                                <a:pt x="0" y="0"/>
                              </a:lnTo>
                              <a:lnTo>
                                <a:pt x="0" y="5977128"/>
                              </a:lnTo>
                              <a:lnTo>
                                <a:pt x="6120383" y="5977128"/>
                              </a:lnTo>
                              <a:lnTo>
                                <a:pt x="6120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4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05CC4C" id="Graphic 6" o:spid="_x0000_s1026" style="position:absolute;margin-left:63.85pt;margin-top:-5.75pt;width:481.95pt;height:470.65pt;z-index:-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5977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" path="m6120383,l,,,5977128r6120383,l6120383,xe" fillcolor="#eff4f9" stroked="f">
                <v:path arrowok="t"/>
                <w10:wrap anchorx="page"/>
              </v:shape>
            </w:pict>
          </mc:Fallback>
        </mc:AlternateContent>
      </w:r>
      <w:r w:rsidR="006E6361">
        <w:rPr>
          <w:rFonts w:ascii="Arial" w:hAnsi="Arial" w:cs="Arial"/>
          <w:lang w:val="sr-Cyrl-RS"/>
        </w:rPr>
        <w:t>Na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kraju</w:t>
      </w:r>
      <w:r w:rsidR="002371ED" w:rsidRPr="00F76537">
        <w:rPr>
          <w:rFonts w:ascii="Arial" w:hAnsi="Arial" w:cs="Arial"/>
          <w:lang w:val="sr-Cyrl-RS"/>
        </w:rPr>
        <w:t xml:space="preserve">, </w:t>
      </w:r>
      <w:r w:rsidR="006E6361">
        <w:rPr>
          <w:rFonts w:ascii="Arial" w:hAnsi="Arial" w:cs="Arial"/>
          <w:lang w:val="sr-Cyrl-RS"/>
        </w:rPr>
        <w:t>ODIHR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ponavlja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svoju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raniju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preporuku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da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predložene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izmene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i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dopune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ZJBS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treba</w:t>
      </w:r>
      <w:r w:rsid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da</w:t>
      </w:r>
      <w:r w:rsid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budu</w:t>
      </w:r>
      <w:r w:rsid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predmet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inkluzivnih</w:t>
      </w:r>
      <w:r w:rsidR="002371ED" w:rsidRPr="00F76537">
        <w:rPr>
          <w:rFonts w:ascii="Arial" w:hAnsi="Arial" w:cs="Arial"/>
          <w:lang w:val="sr-Cyrl-RS"/>
        </w:rPr>
        <w:t xml:space="preserve">, </w:t>
      </w:r>
      <w:r w:rsidR="006E6361">
        <w:rPr>
          <w:rFonts w:ascii="Arial" w:hAnsi="Arial" w:cs="Arial"/>
          <w:lang w:val="sr-Cyrl-RS"/>
        </w:rPr>
        <w:t>opsežnih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i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efikasnih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konsultacija</w:t>
      </w:r>
      <w:r w:rsidR="002371ED" w:rsidRPr="00F76537">
        <w:rPr>
          <w:rFonts w:ascii="Arial" w:hAnsi="Arial" w:cs="Arial"/>
          <w:lang w:val="sr-Cyrl-RS"/>
        </w:rPr>
        <w:t xml:space="preserve">, </w:t>
      </w:r>
      <w:r w:rsidR="006E6361">
        <w:rPr>
          <w:rFonts w:ascii="Arial" w:hAnsi="Arial" w:cs="Arial"/>
          <w:lang w:val="sr-Cyrl-RS"/>
        </w:rPr>
        <w:t>uključujući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i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sa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civilnim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6E6361">
        <w:rPr>
          <w:rFonts w:ascii="Arial" w:hAnsi="Arial" w:cs="Arial"/>
          <w:lang w:val="sr-Cyrl-RS"/>
        </w:rPr>
        <w:t>društvom</w:t>
      </w:r>
      <w:r w:rsidRPr="00F76537">
        <w:rPr>
          <w:rFonts w:ascii="Arial" w:hAnsi="Arial" w:cs="Arial"/>
          <w:lang w:val="sr-Cyrl-RS"/>
        </w:rPr>
        <w:t>.</w:t>
      </w:r>
    </w:p>
    <w:p w14:paraId="44CEA662" w14:textId="77777777" w:rsidR="00843802" w:rsidRPr="00F76537" w:rsidRDefault="00843802">
      <w:pPr>
        <w:pStyle w:val="BodyText"/>
        <w:ind w:left="0"/>
        <w:rPr>
          <w:rFonts w:ascii="Arial" w:hAnsi="Arial" w:cs="Arial"/>
          <w:lang w:val="sr-Cyrl-RS"/>
        </w:rPr>
      </w:pPr>
    </w:p>
    <w:p w14:paraId="46D1E7B3" w14:textId="77CC041B" w:rsidR="00843802" w:rsidRPr="00F76537" w:rsidRDefault="006E6361">
      <w:pPr>
        <w:ind w:left="1132" w:right="99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Konkretnije</w:t>
      </w:r>
      <w:r w:rsidR="002371ED" w:rsidRPr="00F765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71ED" w:rsidRPr="00F765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</w:t>
      </w:r>
      <w:r w:rsidR="00F76537" w:rsidRPr="00F765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ono</w:t>
      </w:r>
      <w:r w:rsidR="00F76537" w:rsidRPr="00F765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što</w:t>
      </w:r>
      <w:r w:rsidR="002371ED" w:rsidRPr="00F765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71ED" w:rsidRPr="00F765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</w:t>
      </w:r>
      <w:r w:rsidR="002371ED" w:rsidRPr="00F765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navedeno</w:t>
      </w:r>
      <w:r w:rsidR="002371ED" w:rsidRPr="00F765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ODIHR</w:t>
      </w:r>
      <w:r w:rsidR="002371ED" w:rsidRPr="00F765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daje</w:t>
      </w:r>
      <w:r w:rsidR="002371ED" w:rsidRPr="00F765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sledeće</w:t>
      </w:r>
      <w:r w:rsidR="002371ED" w:rsidRPr="00F765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preporuke</w:t>
      </w:r>
      <w:r w:rsidR="002371ED" w:rsidRPr="00F765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71ED" w:rsidRPr="00F765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dalje</w:t>
      </w:r>
      <w:r w:rsidR="002371ED" w:rsidRPr="00F765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unapređenje</w:t>
      </w:r>
      <w:r w:rsidR="002371ED" w:rsidRPr="00F765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predloženih</w:t>
      </w:r>
      <w:r w:rsidR="002371ED" w:rsidRPr="00F765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</w:t>
      </w:r>
      <w:r w:rsidR="002371ED" w:rsidRPr="00F765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ZJBS</w:t>
      </w:r>
      <w:r w:rsidR="00CE5810" w:rsidRPr="00F76537">
        <w:rPr>
          <w:rFonts w:ascii="Arial" w:hAnsi="Arial" w:cs="Arial"/>
          <w:sz w:val="24"/>
          <w:szCs w:val="24"/>
          <w:lang w:val="sr-Cyrl-RS"/>
        </w:rPr>
        <w:t>:</w:t>
      </w:r>
    </w:p>
    <w:p w14:paraId="4B9DFC6A" w14:textId="01A1D4CE" w:rsidR="002371ED" w:rsidRPr="00A54F50" w:rsidRDefault="006E6361" w:rsidP="002371ED">
      <w:pPr>
        <w:pStyle w:val="ListParagraph"/>
        <w:numPr>
          <w:ilvl w:val="0"/>
          <w:numId w:val="11"/>
        </w:numPr>
        <w:tabs>
          <w:tab w:val="left" w:pos="1697"/>
          <w:tab w:val="left" w:pos="1699"/>
        </w:tabs>
        <w:spacing w:before="120"/>
        <w:ind w:right="990"/>
        <w:rPr>
          <w:rFonts w:ascii="Arial MT" w:hAnsi="Arial MT"/>
          <w:sz w:val="24"/>
          <w:lang w:val="sr-Cyrl-RS"/>
        </w:rPr>
      </w:pPr>
      <w:r>
        <w:rPr>
          <w:rFonts w:ascii="Arial MT" w:hAnsi="Arial MT"/>
          <w:sz w:val="24"/>
          <w:lang w:val="sr-Cyrl-RS"/>
        </w:rPr>
        <w:t>Utvrditi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rok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u</w:t>
      </w:r>
      <w:r w:rsidR="00711DF9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kojrm</w:t>
      </w:r>
      <w:r w:rsidR="00711DF9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je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Komisija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za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reviziju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dužna</w:t>
      </w:r>
      <w:r w:rsidR="00711DF9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da</w:t>
      </w:r>
      <w:r w:rsidR="00711DF9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odgovori</w:t>
      </w:r>
      <w:r w:rsidR="00711DF9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na</w:t>
      </w:r>
      <w:r w:rsidR="00711DF9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pritužbe</w:t>
      </w:r>
      <w:r w:rsidR="00711DF9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u</w:t>
      </w:r>
      <w:r w:rsidR="00711DF9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vezi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tačnosti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JBS</w:t>
      </w:r>
      <w:r w:rsidR="002371ED" w:rsidRPr="00A54F50">
        <w:rPr>
          <w:rFonts w:ascii="Arial MT" w:hAnsi="Arial MT"/>
          <w:sz w:val="24"/>
          <w:lang w:val="sr-Cyrl-RS"/>
        </w:rPr>
        <w:t>; [</w:t>
      </w:r>
      <w:r>
        <w:rPr>
          <w:rFonts w:ascii="Arial MT" w:hAnsi="Arial MT"/>
          <w:sz w:val="24"/>
          <w:lang w:val="sr-Cyrl-RS"/>
        </w:rPr>
        <w:t>stav</w:t>
      </w:r>
      <w:r w:rsidR="002371ED" w:rsidRPr="00A54F50">
        <w:rPr>
          <w:rFonts w:ascii="Arial MT" w:hAnsi="Arial MT"/>
          <w:sz w:val="24"/>
          <w:lang w:val="sr-Cyrl-RS"/>
        </w:rPr>
        <w:t xml:space="preserve"> 13]</w:t>
      </w:r>
    </w:p>
    <w:p w14:paraId="06E9420F" w14:textId="56E0EC40" w:rsidR="002371ED" w:rsidRPr="00A54F50" w:rsidRDefault="006E6361" w:rsidP="002371ED">
      <w:pPr>
        <w:pStyle w:val="ListParagraph"/>
        <w:numPr>
          <w:ilvl w:val="0"/>
          <w:numId w:val="11"/>
        </w:numPr>
        <w:tabs>
          <w:tab w:val="left" w:pos="1697"/>
          <w:tab w:val="left" w:pos="1699"/>
        </w:tabs>
        <w:spacing w:before="120"/>
        <w:ind w:right="990"/>
        <w:rPr>
          <w:rFonts w:ascii="Arial MT" w:hAnsi="Arial MT"/>
          <w:sz w:val="24"/>
          <w:lang w:val="sr-Cyrl-RS"/>
        </w:rPr>
      </w:pPr>
      <w:bookmarkStart w:id="2" w:name="_Hlk199842645"/>
      <w:r>
        <w:rPr>
          <w:rFonts w:ascii="Arial MT" w:hAnsi="Arial MT"/>
          <w:sz w:val="24"/>
          <w:lang w:val="sr-Cyrl-RS"/>
        </w:rPr>
        <w:t>Preispitati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predlog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Nacrta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zakona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da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se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RIK</w:t>
      </w:r>
      <w:r w:rsidR="002371ED" w:rsidRPr="00A54F50">
        <w:rPr>
          <w:rFonts w:ascii="Arial MT" w:hAnsi="Arial MT"/>
          <w:sz w:val="24"/>
          <w:lang w:val="sr-Cyrl-RS"/>
        </w:rPr>
        <w:t>-</w:t>
      </w:r>
      <w:r>
        <w:rPr>
          <w:rFonts w:ascii="Arial MT" w:hAnsi="Arial MT"/>
          <w:sz w:val="24"/>
          <w:lang w:val="sr-Cyrl-RS"/>
        </w:rPr>
        <w:t>u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poveri</w:t>
      </w:r>
      <w:r w:rsidR="000E153F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odgovornost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za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vršenje</w:t>
      </w:r>
      <w:r w:rsidR="000E153F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revizije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JBS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razmotriti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poveravanje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mandata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stalnom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ili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 w:rsidR="000E153F" w:rsidRPr="000E153F">
        <w:rPr>
          <w:rFonts w:ascii="Arial" w:hAnsi="Arial" w:cs="Arial"/>
          <w:bCs/>
          <w:i/>
          <w:iCs/>
          <w:color w:val="000000"/>
          <w:sz w:val="24"/>
          <w:lang w:val="sr-Cyrl-RS"/>
        </w:rPr>
        <w:t>ad hoc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nezavisnom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telu</w:t>
      </w:r>
      <w:r w:rsidR="002371ED" w:rsidRPr="00A54F50">
        <w:rPr>
          <w:rFonts w:ascii="Arial MT" w:hAnsi="Arial MT"/>
          <w:sz w:val="24"/>
          <w:lang w:val="sr-Cyrl-RS"/>
        </w:rPr>
        <w:t xml:space="preserve">, </w:t>
      </w:r>
      <w:r>
        <w:rPr>
          <w:rFonts w:ascii="Arial MT" w:hAnsi="Arial MT"/>
          <w:sz w:val="24"/>
          <w:lang w:val="sr-Cyrl-RS"/>
        </w:rPr>
        <w:t>kao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što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je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Komisija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za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reviziju</w:t>
      </w:r>
      <w:r w:rsidR="002371ED" w:rsidRPr="00A54F50">
        <w:rPr>
          <w:rFonts w:ascii="Arial MT" w:hAnsi="Arial MT"/>
          <w:sz w:val="24"/>
          <w:lang w:val="sr-Cyrl-RS"/>
        </w:rPr>
        <w:t xml:space="preserve">, </w:t>
      </w:r>
      <w:r>
        <w:rPr>
          <w:rFonts w:ascii="Arial MT" w:hAnsi="Arial MT"/>
          <w:sz w:val="24"/>
          <w:lang w:val="sr-Cyrl-RS"/>
        </w:rPr>
        <w:t>da</w:t>
      </w:r>
      <w:r w:rsidR="000E153F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vrši</w:t>
      </w:r>
      <w:r w:rsidR="000E153F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redovnu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ili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periodičnu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reviziju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JBS</w:t>
      </w:r>
      <w:bookmarkEnd w:id="2"/>
      <w:r w:rsidR="002371ED" w:rsidRPr="00A54F50">
        <w:rPr>
          <w:rFonts w:ascii="Arial MT" w:hAnsi="Arial MT"/>
          <w:sz w:val="24"/>
          <w:lang w:val="sr-Cyrl-RS"/>
        </w:rPr>
        <w:t>; [</w:t>
      </w:r>
      <w:r>
        <w:rPr>
          <w:rFonts w:ascii="Arial MT" w:hAnsi="Arial MT"/>
          <w:sz w:val="24"/>
          <w:lang w:val="sr-Cyrl-RS"/>
        </w:rPr>
        <w:t>stav</w:t>
      </w:r>
      <w:r w:rsidR="002371ED" w:rsidRPr="00A54F50">
        <w:rPr>
          <w:rFonts w:ascii="Arial MT" w:hAnsi="Arial MT"/>
          <w:sz w:val="24"/>
          <w:lang w:val="sr-Cyrl-RS"/>
        </w:rPr>
        <w:t xml:space="preserve"> 18]</w:t>
      </w:r>
    </w:p>
    <w:p w14:paraId="3D97DADE" w14:textId="7BA220D2" w:rsidR="002371ED" w:rsidRPr="00A54F50" w:rsidRDefault="006E6361" w:rsidP="002371ED">
      <w:pPr>
        <w:pStyle w:val="ListParagraph"/>
        <w:numPr>
          <w:ilvl w:val="0"/>
          <w:numId w:val="11"/>
        </w:numPr>
        <w:tabs>
          <w:tab w:val="left" w:pos="1697"/>
          <w:tab w:val="left" w:pos="1699"/>
        </w:tabs>
        <w:spacing w:before="120"/>
        <w:ind w:right="990"/>
        <w:rPr>
          <w:rFonts w:ascii="Arial MT" w:hAnsi="Arial MT"/>
          <w:sz w:val="24"/>
          <w:lang w:val="sr-Cyrl-RS"/>
        </w:rPr>
      </w:pPr>
      <w:r>
        <w:rPr>
          <w:rFonts w:ascii="Arial MT" w:hAnsi="Arial MT"/>
          <w:sz w:val="24"/>
          <w:lang w:val="sr-Cyrl-RS"/>
        </w:rPr>
        <w:t>Zakonom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utvrditi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učestalost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revizija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kako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bi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se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osigurala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pravna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sigurnost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stabilnost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dugoročnog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procesa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revizije</w:t>
      </w:r>
      <w:r w:rsidR="002371ED" w:rsidRPr="00A54F50">
        <w:rPr>
          <w:rFonts w:ascii="Arial MT" w:hAnsi="Arial MT"/>
          <w:sz w:val="24"/>
          <w:lang w:val="sr-Cyrl-RS"/>
        </w:rPr>
        <w:t>; [</w:t>
      </w:r>
      <w:r>
        <w:rPr>
          <w:rFonts w:ascii="Arial MT" w:hAnsi="Arial MT"/>
          <w:sz w:val="24"/>
          <w:lang w:val="sr-Cyrl-RS"/>
        </w:rPr>
        <w:t>stav</w:t>
      </w:r>
      <w:r w:rsidR="002371ED" w:rsidRPr="00A54F50">
        <w:rPr>
          <w:rFonts w:ascii="Arial MT" w:hAnsi="Arial MT"/>
          <w:sz w:val="24"/>
          <w:lang w:val="sr-Cyrl-RS"/>
        </w:rPr>
        <w:t xml:space="preserve"> 20]</w:t>
      </w:r>
    </w:p>
    <w:p w14:paraId="05B450F1" w14:textId="3FD173C0" w:rsidR="002371ED" w:rsidRPr="00A54F50" w:rsidRDefault="006E6361" w:rsidP="002371ED">
      <w:pPr>
        <w:pStyle w:val="ListParagraph"/>
        <w:numPr>
          <w:ilvl w:val="0"/>
          <w:numId w:val="11"/>
        </w:numPr>
        <w:tabs>
          <w:tab w:val="left" w:pos="1697"/>
          <w:tab w:val="left" w:pos="1699"/>
        </w:tabs>
        <w:spacing w:before="120"/>
        <w:ind w:right="990"/>
        <w:rPr>
          <w:rFonts w:ascii="Arial MT" w:hAnsi="Arial MT"/>
          <w:sz w:val="24"/>
          <w:lang w:val="sr-Cyrl-RS"/>
        </w:rPr>
      </w:pPr>
      <w:r>
        <w:rPr>
          <w:rFonts w:ascii="Arial MT" w:hAnsi="Arial MT"/>
          <w:sz w:val="24"/>
          <w:lang w:val="sr-Cyrl-RS"/>
        </w:rPr>
        <w:t>Završiti</w:t>
      </w:r>
      <w:r w:rsidR="002371ED" w:rsidRPr="00A54F50">
        <w:rPr>
          <w:rFonts w:ascii="Arial MT" w:hAnsi="Arial MT"/>
          <w:sz w:val="24"/>
          <w:lang w:val="sr-Cyrl-RS"/>
        </w:rPr>
        <w:t xml:space="preserve"> [</w:t>
      </w:r>
      <w:r>
        <w:rPr>
          <w:rFonts w:ascii="Arial MT" w:hAnsi="Arial MT"/>
          <w:sz w:val="24"/>
          <w:lang w:val="sr-Cyrl-RS"/>
        </w:rPr>
        <w:t>prvu</w:t>
      </w:r>
      <w:r w:rsidR="002371ED" w:rsidRPr="00A54F50">
        <w:rPr>
          <w:rFonts w:ascii="Arial MT" w:hAnsi="Arial MT"/>
          <w:sz w:val="24"/>
          <w:lang w:val="sr-Cyrl-RS"/>
        </w:rPr>
        <w:t xml:space="preserve">] </w:t>
      </w:r>
      <w:r>
        <w:rPr>
          <w:rFonts w:ascii="Arial MT" w:hAnsi="Arial MT"/>
          <w:sz w:val="24"/>
          <w:lang w:val="sr-Cyrl-RS"/>
        </w:rPr>
        <w:t>reviziju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dosta</w:t>
      </w:r>
      <w:r w:rsidR="00D24D16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vremenapre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narednih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izbora</w:t>
      </w:r>
      <w:r w:rsidR="002371ED" w:rsidRPr="00A54F50">
        <w:rPr>
          <w:rFonts w:ascii="Arial MT" w:hAnsi="Arial MT"/>
          <w:sz w:val="24"/>
          <w:lang w:val="sr-Cyrl-RS"/>
        </w:rPr>
        <w:t>; [</w:t>
      </w:r>
      <w:r>
        <w:rPr>
          <w:rFonts w:ascii="Arial MT" w:hAnsi="Arial MT"/>
          <w:sz w:val="24"/>
          <w:lang w:val="sr-Cyrl-RS"/>
        </w:rPr>
        <w:t>stav</w:t>
      </w:r>
      <w:r w:rsidR="002371ED" w:rsidRPr="00A54F50">
        <w:rPr>
          <w:rFonts w:ascii="Arial MT" w:hAnsi="Arial MT"/>
          <w:sz w:val="24"/>
          <w:lang w:val="sr-Cyrl-RS"/>
        </w:rPr>
        <w:t xml:space="preserve"> 21]</w:t>
      </w:r>
    </w:p>
    <w:p w14:paraId="7191DC4E" w14:textId="118DADD5" w:rsidR="002371ED" w:rsidRPr="00A54F50" w:rsidRDefault="006E6361" w:rsidP="002371ED">
      <w:pPr>
        <w:pStyle w:val="ListParagraph"/>
        <w:numPr>
          <w:ilvl w:val="0"/>
          <w:numId w:val="11"/>
        </w:numPr>
        <w:tabs>
          <w:tab w:val="left" w:pos="1697"/>
          <w:tab w:val="left" w:pos="1699"/>
        </w:tabs>
        <w:spacing w:before="120"/>
        <w:ind w:right="990"/>
        <w:rPr>
          <w:rFonts w:ascii="Arial MT" w:hAnsi="Arial MT"/>
          <w:sz w:val="24"/>
          <w:lang w:val="sr-Cyrl-RS"/>
        </w:rPr>
      </w:pPr>
      <w:r>
        <w:rPr>
          <w:rFonts w:ascii="Arial MT" w:hAnsi="Arial MT"/>
          <w:sz w:val="24"/>
          <w:lang w:val="sr-Cyrl-RS"/>
        </w:rPr>
        <w:t>Usaglasiti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ili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jasnije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diferencirati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određenja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mandata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prirode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nacrta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preporuka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Komisije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za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reviziju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RIK</w:t>
      </w:r>
      <w:r w:rsidR="002371ED" w:rsidRPr="00A54F50">
        <w:rPr>
          <w:rFonts w:ascii="Arial MT" w:hAnsi="Arial MT"/>
          <w:sz w:val="24"/>
          <w:lang w:val="sr-Cyrl-RS"/>
        </w:rPr>
        <w:t>-</w:t>
      </w:r>
      <w:r>
        <w:rPr>
          <w:rFonts w:ascii="Arial MT" w:hAnsi="Arial MT"/>
          <w:sz w:val="24"/>
          <w:lang w:val="sr-Cyrl-RS"/>
        </w:rPr>
        <w:t>a</w:t>
      </w:r>
      <w:r w:rsidR="002371ED" w:rsidRPr="00A54F50">
        <w:rPr>
          <w:rFonts w:ascii="Arial MT" w:hAnsi="Arial MT"/>
          <w:sz w:val="24"/>
          <w:lang w:val="sr-Cyrl-RS"/>
        </w:rPr>
        <w:t>; [</w:t>
      </w:r>
      <w:r>
        <w:rPr>
          <w:rFonts w:ascii="Arial MT" w:hAnsi="Arial MT"/>
          <w:sz w:val="24"/>
          <w:lang w:val="sr-Cyrl-RS"/>
        </w:rPr>
        <w:t>stav</w:t>
      </w:r>
      <w:r w:rsidR="002371ED" w:rsidRPr="00A54F50">
        <w:rPr>
          <w:rFonts w:ascii="Arial MT" w:hAnsi="Arial MT"/>
          <w:sz w:val="24"/>
          <w:lang w:val="sr-Cyrl-RS"/>
        </w:rPr>
        <w:t xml:space="preserve"> 22]</w:t>
      </w:r>
    </w:p>
    <w:p w14:paraId="03BD835E" w14:textId="773AF121" w:rsidR="002371ED" w:rsidRPr="00A54F50" w:rsidRDefault="006E6361" w:rsidP="002371ED">
      <w:pPr>
        <w:pStyle w:val="ListParagraph"/>
        <w:numPr>
          <w:ilvl w:val="0"/>
          <w:numId w:val="11"/>
        </w:numPr>
        <w:tabs>
          <w:tab w:val="left" w:pos="1697"/>
          <w:tab w:val="left" w:pos="1699"/>
        </w:tabs>
        <w:spacing w:before="120"/>
        <w:ind w:right="990"/>
        <w:rPr>
          <w:rFonts w:ascii="Arial MT" w:hAnsi="Arial MT"/>
          <w:sz w:val="24"/>
          <w:lang w:val="sr-Cyrl-RS"/>
        </w:rPr>
      </w:pPr>
      <w:r>
        <w:rPr>
          <w:rFonts w:ascii="Arial MT" w:hAnsi="Arial MT"/>
          <w:sz w:val="24"/>
          <w:lang w:val="sr-Cyrl-RS"/>
        </w:rPr>
        <w:t>Predvideti</w:t>
      </w:r>
      <w:r w:rsidR="00F54351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angažovanje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kombinacije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stručnjaka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neophodnih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za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efikasno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sprovođenje</w:t>
      </w:r>
      <w:r w:rsidR="002371ED" w:rsidRPr="00A54F50">
        <w:rPr>
          <w:rFonts w:ascii="Arial MT" w:hAnsi="Arial MT"/>
          <w:sz w:val="24"/>
          <w:lang w:val="sr-Cyrl-RS"/>
        </w:rPr>
        <w:t xml:space="preserve"> (</w:t>
      </w:r>
      <w:r>
        <w:rPr>
          <w:rFonts w:ascii="Arial MT" w:hAnsi="Arial MT"/>
          <w:sz w:val="24"/>
          <w:lang w:val="sr-Cyrl-RS"/>
        </w:rPr>
        <w:t>periodičnih</w:t>
      </w:r>
      <w:r w:rsidR="002371ED" w:rsidRPr="00A54F50">
        <w:rPr>
          <w:rFonts w:ascii="Arial MT" w:hAnsi="Arial MT"/>
          <w:sz w:val="24"/>
          <w:lang w:val="sr-Cyrl-RS"/>
        </w:rPr>
        <w:t xml:space="preserve">) </w:t>
      </w:r>
      <w:r>
        <w:rPr>
          <w:rFonts w:ascii="Arial MT" w:hAnsi="Arial MT"/>
          <w:sz w:val="24"/>
          <w:lang w:val="sr-Cyrl-RS"/>
        </w:rPr>
        <w:t>revizija</w:t>
      </w:r>
      <w:r w:rsidR="002371ED" w:rsidRPr="00A54F50">
        <w:rPr>
          <w:rFonts w:ascii="Arial MT" w:hAnsi="Arial MT"/>
          <w:sz w:val="24"/>
          <w:lang w:val="sr-Cyrl-RS"/>
        </w:rPr>
        <w:t>; [</w:t>
      </w:r>
      <w:r>
        <w:rPr>
          <w:rFonts w:ascii="Arial MT" w:hAnsi="Arial MT"/>
          <w:sz w:val="24"/>
          <w:lang w:val="sr-Cyrl-RS"/>
        </w:rPr>
        <w:t>stav</w:t>
      </w:r>
      <w:r w:rsidR="002371ED" w:rsidRPr="00A54F50">
        <w:rPr>
          <w:rFonts w:ascii="Arial MT" w:hAnsi="Arial MT"/>
          <w:sz w:val="24"/>
          <w:lang w:val="sr-Cyrl-RS"/>
        </w:rPr>
        <w:t xml:space="preserve"> 29]</w:t>
      </w:r>
    </w:p>
    <w:p w14:paraId="18655756" w14:textId="4FB68CE6" w:rsidR="002371ED" w:rsidRPr="00A54F50" w:rsidRDefault="006E6361" w:rsidP="002371ED">
      <w:pPr>
        <w:pStyle w:val="ListParagraph"/>
        <w:numPr>
          <w:ilvl w:val="0"/>
          <w:numId w:val="11"/>
        </w:numPr>
        <w:tabs>
          <w:tab w:val="left" w:pos="1697"/>
          <w:tab w:val="left" w:pos="1699"/>
        </w:tabs>
        <w:spacing w:before="120"/>
        <w:ind w:right="990"/>
        <w:rPr>
          <w:rFonts w:ascii="Arial MT" w:hAnsi="Arial MT"/>
          <w:sz w:val="24"/>
          <w:lang w:val="sr-Cyrl-RS"/>
        </w:rPr>
      </w:pPr>
      <w:r>
        <w:rPr>
          <w:rFonts w:ascii="Arial MT" w:hAnsi="Arial MT"/>
          <w:sz w:val="24"/>
          <w:lang w:val="sr-Cyrl-RS"/>
        </w:rPr>
        <w:t>Razraditi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postupak</w:t>
      </w:r>
      <w:r w:rsidR="00F54351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odlučivanja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tela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kome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je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poverena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odgovornost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za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vršenje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revizije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kako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bi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se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obezbedio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doprinos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kako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vladajuće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većine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opozicije</w:t>
      </w:r>
      <w:r w:rsidR="002371ED" w:rsidRPr="00A54F50">
        <w:rPr>
          <w:rFonts w:ascii="Arial MT" w:hAnsi="Arial MT"/>
          <w:sz w:val="24"/>
          <w:lang w:val="sr-Cyrl-RS"/>
        </w:rPr>
        <w:t xml:space="preserve">, </w:t>
      </w:r>
      <w:r>
        <w:rPr>
          <w:rFonts w:ascii="Arial MT" w:hAnsi="Arial MT"/>
          <w:sz w:val="24"/>
          <w:lang w:val="sr-Cyrl-RS"/>
        </w:rPr>
        <w:t>tako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civilnog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društva</w:t>
      </w:r>
      <w:r w:rsidR="002371ED" w:rsidRPr="00A54F50">
        <w:rPr>
          <w:rFonts w:ascii="Arial MT" w:hAnsi="Arial MT"/>
          <w:sz w:val="24"/>
          <w:lang w:val="sr-Cyrl-RS"/>
        </w:rPr>
        <w:t xml:space="preserve">, </w:t>
      </w:r>
      <w:r>
        <w:rPr>
          <w:rFonts w:ascii="Arial MT" w:hAnsi="Arial MT"/>
          <w:sz w:val="24"/>
          <w:lang w:val="sr-Cyrl-RS"/>
        </w:rPr>
        <w:t>u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odlukama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koje</w:t>
      </w:r>
      <w:r w:rsidR="00F54351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se</w:t>
      </w:r>
      <w:r w:rsidR="00F54351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odnose</w:t>
      </w:r>
      <w:r w:rsidR="00F54351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na</w:t>
      </w:r>
      <w:r w:rsidR="00F54351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postupak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revizije</w:t>
      </w:r>
      <w:r w:rsidR="002371ED" w:rsidRPr="00A54F50">
        <w:rPr>
          <w:rFonts w:ascii="Arial MT" w:hAnsi="Arial MT"/>
          <w:sz w:val="24"/>
          <w:lang w:val="sr-Cyrl-RS"/>
        </w:rPr>
        <w:t>; [</w:t>
      </w:r>
      <w:r>
        <w:rPr>
          <w:rFonts w:ascii="Arial MT" w:hAnsi="Arial MT"/>
          <w:sz w:val="24"/>
          <w:lang w:val="sr-Cyrl-RS"/>
        </w:rPr>
        <w:t>stav</w:t>
      </w:r>
      <w:r w:rsidR="002371ED" w:rsidRPr="00A54F50">
        <w:rPr>
          <w:rFonts w:ascii="Arial MT" w:hAnsi="Arial MT"/>
          <w:sz w:val="24"/>
          <w:lang w:val="sr-Cyrl-RS"/>
        </w:rPr>
        <w:t xml:space="preserve"> 32]</w:t>
      </w:r>
    </w:p>
    <w:p w14:paraId="529EEA6E" w14:textId="78DFE6E1" w:rsidR="00843802" w:rsidRPr="00A54F50" w:rsidRDefault="006E6361" w:rsidP="002371ED">
      <w:pPr>
        <w:pStyle w:val="ListParagraph"/>
        <w:numPr>
          <w:ilvl w:val="0"/>
          <w:numId w:val="11"/>
        </w:numPr>
        <w:tabs>
          <w:tab w:val="left" w:pos="1697"/>
          <w:tab w:val="left" w:pos="1699"/>
        </w:tabs>
        <w:spacing w:before="120"/>
        <w:ind w:right="990"/>
        <w:rPr>
          <w:rFonts w:ascii="Arial MT" w:hAnsi="Arial MT"/>
          <w:sz w:val="24"/>
          <w:lang w:val="sr-Cyrl-RS"/>
        </w:rPr>
      </w:pPr>
      <w:r>
        <w:rPr>
          <w:rFonts w:ascii="Arial MT" w:hAnsi="Arial MT"/>
          <w:sz w:val="24"/>
          <w:lang w:val="sr-Cyrl-RS"/>
        </w:rPr>
        <w:t>Da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se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telu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odgovornom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za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vršenje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revizija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daju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ista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prava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kao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Komisiji</w:t>
      </w:r>
      <w:r w:rsidR="00467341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za</w:t>
      </w:r>
      <w:r w:rsidR="00467341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reviziju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u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vezi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sa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razmatranjem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njenih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izveštaja</w:t>
      </w:r>
      <w:r w:rsidR="00F54351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o</w:t>
      </w:r>
      <w:r w:rsidR="00F54351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izvršenoj</w:t>
      </w:r>
      <w:r w:rsidR="00F54351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reviziji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od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strane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nadležnog</w:t>
      </w:r>
      <w:r w:rsidR="00F54351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odbora</w:t>
      </w:r>
      <w:r w:rsidR="002371ED" w:rsidRPr="00A54F50">
        <w:rPr>
          <w:rFonts w:ascii="Arial MT" w:hAnsi="Arial MT"/>
          <w:sz w:val="24"/>
          <w:lang w:val="sr-Cyrl-RS"/>
        </w:rPr>
        <w:t xml:space="preserve"> [</w:t>
      </w:r>
      <w:r>
        <w:rPr>
          <w:rFonts w:ascii="Arial MT" w:hAnsi="Arial MT"/>
          <w:sz w:val="24"/>
          <w:lang w:val="sr-Cyrl-RS"/>
        </w:rPr>
        <w:t>stav</w:t>
      </w:r>
      <w:r w:rsidR="002371ED" w:rsidRPr="00A54F50">
        <w:rPr>
          <w:rFonts w:ascii="Arial MT" w:hAnsi="Arial MT"/>
          <w:sz w:val="24"/>
          <w:lang w:val="sr-Cyrl-RS"/>
        </w:rPr>
        <w:t xml:space="preserve"> 34</w:t>
      </w:r>
      <w:r w:rsidR="00CE5810" w:rsidRPr="00A54F50">
        <w:rPr>
          <w:rFonts w:ascii="Arial MT" w:hAnsi="Arial MT"/>
          <w:sz w:val="24"/>
          <w:lang w:val="sr-Cyrl-RS"/>
        </w:rPr>
        <w:t>]</w:t>
      </w:r>
    </w:p>
    <w:p w14:paraId="35947253" w14:textId="77777777" w:rsidR="00843802" w:rsidRPr="00A54F50" w:rsidRDefault="00843802">
      <w:pPr>
        <w:pStyle w:val="BodyText"/>
        <w:spacing w:before="120"/>
        <w:ind w:left="0"/>
        <w:rPr>
          <w:rFonts w:ascii="Arial MT"/>
          <w:lang w:val="sr-Cyrl-RS"/>
        </w:rPr>
      </w:pPr>
    </w:p>
    <w:p w14:paraId="1AF2B75E" w14:textId="3A1DB297" w:rsidR="00843802" w:rsidRPr="00A54F50" w:rsidRDefault="006E6361">
      <w:pPr>
        <w:pStyle w:val="Heading2"/>
        <w:spacing w:before="0" w:line="276" w:lineRule="auto"/>
        <w:ind w:left="1132" w:right="996"/>
        <w:rPr>
          <w:rFonts w:ascii="Arial"/>
          <w:lang w:val="sr-Cyrl-RS"/>
        </w:rPr>
      </w:pPr>
      <w:r>
        <w:rPr>
          <w:color w:val="000000"/>
          <w:lang w:val="sr-Cyrl-RS"/>
        </w:rPr>
        <w:t>Ove</w:t>
      </w:r>
      <w:r w:rsidR="00F75D6B" w:rsidRPr="00B430C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F75D6B" w:rsidRPr="00B430C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dodatne</w:t>
      </w:r>
      <w:r w:rsidR="00F75D6B" w:rsidRPr="00B430C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preporuke</w:t>
      </w:r>
      <w:r w:rsidR="00F75D6B" w:rsidRPr="00B430C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date</w:t>
      </w:r>
      <w:r w:rsidR="00F75D6B" w:rsidRPr="00B430C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F75D6B" w:rsidRPr="00B430C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tekstu</w:t>
      </w:r>
      <w:r w:rsidR="00F75D6B" w:rsidRPr="00B430C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ovog</w:t>
      </w:r>
      <w:r w:rsidR="00F75D6B" w:rsidRPr="00B430C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Mišljenja</w:t>
      </w:r>
      <w:r w:rsidR="00F75D6B" w:rsidRPr="00B430C5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svugde</w:t>
      </w:r>
      <w:r w:rsidR="00F75D6B" w:rsidRPr="00B430C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</w:t>
      </w:r>
      <w:r w:rsidR="00F75D6B" w:rsidRPr="00B430C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ispisane</w:t>
      </w:r>
      <w:r w:rsidR="00F75D6B" w:rsidRPr="00B430C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masnim</w:t>
      </w:r>
      <w:r w:rsidR="00F75D6B" w:rsidRPr="00B430C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slovima</w:t>
      </w:r>
      <w:r w:rsidR="00F75D6B" w:rsidRPr="00B430C5"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bold</w:t>
      </w:r>
      <w:r w:rsidR="00F75D6B">
        <w:rPr>
          <w:color w:val="000000"/>
          <w:lang w:val="sr-Cyrl-RS"/>
        </w:rPr>
        <w:t>)</w:t>
      </w:r>
      <w:r w:rsidR="00CE5810" w:rsidRPr="00A54F50">
        <w:rPr>
          <w:rFonts w:ascii="Arial"/>
          <w:lang w:val="sr-Cyrl-RS"/>
        </w:rPr>
        <w:t>.</w:t>
      </w:r>
    </w:p>
    <w:p w14:paraId="6C714320" w14:textId="77777777" w:rsidR="00843802" w:rsidRPr="00A54F50" w:rsidRDefault="00843802">
      <w:pPr>
        <w:pStyle w:val="BodyText"/>
        <w:ind w:left="0"/>
        <w:rPr>
          <w:rFonts w:ascii="Arial"/>
          <w:b/>
          <w:i/>
          <w:sz w:val="20"/>
          <w:lang w:val="sr-Cyrl-RS"/>
        </w:rPr>
      </w:pPr>
    </w:p>
    <w:p w14:paraId="50290262" w14:textId="77777777" w:rsidR="00843802" w:rsidRPr="00A54F50" w:rsidRDefault="00843802">
      <w:pPr>
        <w:pStyle w:val="BodyText"/>
        <w:ind w:left="0"/>
        <w:rPr>
          <w:rFonts w:ascii="Arial"/>
          <w:b/>
          <w:i/>
          <w:sz w:val="20"/>
          <w:lang w:val="sr-Cyrl-RS"/>
        </w:rPr>
      </w:pPr>
    </w:p>
    <w:p w14:paraId="504D48D6" w14:textId="77777777" w:rsidR="00843802" w:rsidRPr="00A54F50" w:rsidRDefault="00CE5810">
      <w:pPr>
        <w:pStyle w:val="BodyText"/>
        <w:spacing w:before="38"/>
        <w:ind w:left="0"/>
        <w:rPr>
          <w:rFonts w:ascii="Arial"/>
          <w:b/>
          <w:i/>
          <w:sz w:val="20"/>
          <w:lang w:val="sr-Cyrl-RS"/>
        </w:rPr>
      </w:pPr>
      <w:r w:rsidRPr="00A54F50">
        <w:rPr>
          <w:rFonts w:ascii="Arial"/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5792" behindDoc="1" locked="0" layoutInCell="1" allowOverlap="1" wp14:anchorId="0F4E48AF" wp14:editId="5698442D">
                <wp:simplePos x="0" y="0"/>
                <wp:positionH relativeFrom="page">
                  <wp:posOffset>719327</wp:posOffset>
                </wp:positionH>
                <wp:positionV relativeFrom="paragraph">
                  <wp:posOffset>185407</wp:posOffset>
                </wp:positionV>
                <wp:extent cx="6082665" cy="115379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665" cy="1153795"/>
                        </a:xfrm>
                        <a:prstGeom prst="rect">
                          <a:avLst/>
                        </a:prstGeom>
                        <a:solidFill>
                          <a:srgbClr val="EFF4F9"/>
                        </a:solidFill>
                      </wps:spPr>
                      <wps:txbx>
                        <w:txbxContent>
                          <w:p w14:paraId="1DB1218F" w14:textId="1A338082" w:rsidR="00843802" w:rsidRDefault="006E6361">
                            <w:pPr>
                              <w:spacing w:before="115" w:line="276" w:lineRule="auto"/>
                              <w:ind w:left="386" w:right="291"/>
                              <w:jc w:val="both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okviru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svog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mandata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pruža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pomoć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državama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učesnicima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OEBS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a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sprovođenju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njihovih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obaveza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okviru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OEBS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a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oblasti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ljudske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dimenzije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ODIHR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na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zahtev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razmatra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nacrte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postojeće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zakone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radi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ocene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njihove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usaglašenosti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sa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međunarodnim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standardima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ljudskih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prava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obavezama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preuzetim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okviru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OEBS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a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daje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konkretne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preporuke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</w:t>
                            </w:r>
                            <w:r w:rsidR="00F75D6B"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poboljšanje</w:t>
                            </w:r>
                            <w:r w:rsidR="00CE5810"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4E48AF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6.65pt;margin-top:14.6pt;width:478.95pt;height:90.85pt;z-index:-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" fillcolor="#eff4f9" stroked="f">
                <v:path arrowok="t"/>
                <v:textbox inset="0,0,0,0">
                  <w:txbxContent>
                    <w:p w14:paraId="1DB1218F" w14:textId="1A338082" w:rsidR="00843802" w:rsidRDefault="006E6361">
                      <w:pPr>
                        <w:spacing w:before="115" w:line="276" w:lineRule="auto"/>
                        <w:ind w:left="386" w:right="291"/>
                        <w:jc w:val="both"/>
                        <w:rPr>
                          <w:rFonts w:ascii="Arial"/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okviru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svog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mandata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pruža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pomoć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državama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učesnicima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OEBS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-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a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sprovođenju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njihovih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obaveza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okviru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OEBS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-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a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oblasti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ljudske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dimenzije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ODIHR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na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zahtev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razmatra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nacrte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postojeće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zakone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radi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ocene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njihove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usaglašenosti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sa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međunarodnim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standardima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ljudskih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prava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obavezama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preuzetim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okviru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OEBS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-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a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daje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konkretne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preporuke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</w:t>
                      </w:r>
                      <w:r w:rsidR="00F75D6B"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poboljšanje</w:t>
                      </w:r>
                      <w:r w:rsidR="00CE5810">
                        <w:rPr>
                          <w:rFonts w:ascii="Arial"/>
                          <w:b/>
                          <w:i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F00E69" w14:textId="77777777" w:rsidR="00843802" w:rsidRPr="00A54F50" w:rsidRDefault="00843802">
      <w:pPr>
        <w:pStyle w:val="BodyText"/>
        <w:rPr>
          <w:rFonts w:ascii="Arial"/>
          <w:b/>
          <w:i/>
          <w:sz w:val="20"/>
          <w:lang w:val="sr-Cyrl-RS"/>
        </w:rPr>
        <w:sectPr w:rsidR="00843802" w:rsidRPr="00A54F50">
          <w:pgSz w:w="11910" w:h="16840"/>
          <w:pgMar w:top="920" w:right="425" w:bottom="1200" w:left="425" w:header="725" w:footer="946" w:gutter="0"/>
          <w:cols w:space="720"/>
        </w:sectPr>
      </w:pPr>
    </w:p>
    <w:p w14:paraId="7765B5B9" w14:textId="0E095FEF" w:rsidR="00843802" w:rsidRPr="00A54F50" w:rsidRDefault="00843802">
      <w:pPr>
        <w:pStyle w:val="BodyText"/>
        <w:ind w:left="0"/>
        <w:rPr>
          <w:rFonts w:ascii="Arial"/>
          <w:b/>
          <w:i/>
          <w:sz w:val="20"/>
          <w:lang w:val="sr-Cyrl-RS"/>
        </w:rPr>
      </w:pPr>
    </w:p>
    <w:p w14:paraId="13F96369" w14:textId="77777777" w:rsidR="00843802" w:rsidRPr="00A54F50" w:rsidRDefault="00843802">
      <w:pPr>
        <w:pStyle w:val="BodyText"/>
        <w:ind w:left="0"/>
        <w:rPr>
          <w:rFonts w:ascii="Arial"/>
          <w:b/>
          <w:i/>
          <w:sz w:val="20"/>
          <w:lang w:val="sr-Cyrl-RS"/>
        </w:rPr>
      </w:pPr>
    </w:p>
    <w:p w14:paraId="61676785" w14:textId="77777777" w:rsidR="00843802" w:rsidRPr="00A54F50" w:rsidRDefault="00843802">
      <w:pPr>
        <w:pStyle w:val="BodyText"/>
        <w:spacing w:before="27" w:after="1"/>
        <w:ind w:left="0"/>
        <w:rPr>
          <w:rFonts w:ascii="Arial"/>
          <w:b/>
          <w:i/>
          <w:sz w:val="20"/>
          <w:lang w:val="sr-Cyrl-RS"/>
        </w:rPr>
      </w:pPr>
    </w:p>
    <w:p w14:paraId="56FB31E1" w14:textId="17F44C27" w:rsidR="00843802" w:rsidRDefault="00843802">
      <w:pPr>
        <w:pStyle w:val="BodyText"/>
        <w:ind w:left="4094"/>
        <w:rPr>
          <w:rFonts w:ascii="Arial"/>
          <w:sz w:val="20"/>
          <w:lang w:val="sr-Cyrl-RS"/>
        </w:rPr>
      </w:pPr>
    </w:p>
    <w:p w14:paraId="69B027ED" w14:textId="458C034A" w:rsidR="000F6B1C" w:rsidRPr="000F6B1C" w:rsidRDefault="006E6361" w:rsidP="000F6B1C">
      <w:pPr>
        <w:spacing w:before="66"/>
        <w:ind w:left="139"/>
        <w:jc w:val="center"/>
        <w:rPr>
          <w:b/>
          <w:sz w:val="24"/>
          <w:lang w:val="sr-Cyrl-RS"/>
        </w:rPr>
      </w:pPr>
      <w:r>
        <w:rPr>
          <w:b/>
          <w:color w:val="005595"/>
          <w:sz w:val="24"/>
          <w:lang w:val="sr-Cyrl-RS"/>
        </w:rPr>
        <w:t>SADRŽAJ</w:t>
      </w:r>
    </w:p>
    <w:p w14:paraId="6B8BEA88" w14:textId="6FF3B25D" w:rsidR="00347149" w:rsidRDefault="00347149">
      <w:pPr>
        <w:pStyle w:val="BodyText"/>
        <w:ind w:left="4094"/>
        <w:rPr>
          <w:rFonts w:ascii="Arial"/>
          <w:sz w:val="20"/>
          <w:lang w:val="sr-Cyrl-RS"/>
        </w:rPr>
      </w:pPr>
    </w:p>
    <w:p w14:paraId="63AA8617" w14:textId="27865AE4" w:rsidR="00347149" w:rsidRDefault="006E6361" w:rsidP="00347149">
      <w:pPr>
        <w:numPr>
          <w:ilvl w:val="0"/>
          <w:numId w:val="10"/>
        </w:numPr>
        <w:tabs>
          <w:tab w:val="left" w:pos="868"/>
          <w:tab w:val="right" w:leader="dot" w:pos="9778"/>
        </w:tabs>
        <w:spacing w:before="77"/>
        <w:rPr>
          <w:b/>
          <w:sz w:val="28"/>
        </w:rPr>
      </w:pPr>
      <w:r>
        <w:rPr>
          <w:b/>
          <w:smallCaps/>
          <w:color w:val="005595"/>
          <w:spacing w:val="15"/>
          <w:sz w:val="28"/>
          <w:lang w:val="sr-Cyrl-RS"/>
        </w:rPr>
        <w:t>Uvod</w:t>
      </w:r>
      <w:r w:rsidR="00347149">
        <w:rPr>
          <w:b/>
          <w:smallCaps/>
          <w:color w:val="005595"/>
          <w:sz w:val="28"/>
        </w:rPr>
        <w:tab/>
      </w:r>
      <w:r w:rsidR="00347149">
        <w:rPr>
          <w:b/>
          <w:smallCaps/>
          <w:color w:val="005595"/>
          <w:spacing w:val="-10"/>
          <w:sz w:val="28"/>
        </w:rPr>
        <w:t>5</w:t>
      </w:r>
    </w:p>
    <w:p w14:paraId="1FE6FC98" w14:textId="15A280B2" w:rsidR="00347149" w:rsidRDefault="006E6361" w:rsidP="00347149">
      <w:pPr>
        <w:numPr>
          <w:ilvl w:val="0"/>
          <w:numId w:val="10"/>
        </w:numPr>
        <w:tabs>
          <w:tab w:val="left" w:pos="868"/>
          <w:tab w:val="right" w:leader="dot" w:pos="9778"/>
        </w:tabs>
        <w:spacing w:before="119"/>
        <w:rPr>
          <w:b/>
          <w:sz w:val="28"/>
        </w:rPr>
      </w:pPr>
      <w:r>
        <w:rPr>
          <w:b/>
          <w:smallCaps/>
          <w:color w:val="005595"/>
          <w:spacing w:val="15"/>
          <w:sz w:val="28"/>
          <w:lang w:val="sr-Cyrl-RS"/>
        </w:rPr>
        <w:t>Opseg</w:t>
      </w:r>
      <w:r w:rsidR="00C70D49">
        <w:rPr>
          <w:b/>
          <w:smallCaps/>
          <w:color w:val="005595"/>
          <w:spacing w:val="15"/>
          <w:sz w:val="28"/>
          <w:lang w:val="sr-Cyrl-RS"/>
        </w:rPr>
        <w:t xml:space="preserve"> </w:t>
      </w:r>
      <w:r>
        <w:rPr>
          <w:b/>
          <w:smallCaps/>
          <w:color w:val="005595"/>
          <w:spacing w:val="15"/>
          <w:sz w:val="28"/>
          <w:lang w:val="sr-Cyrl-RS"/>
        </w:rPr>
        <w:t>mišljenja</w:t>
      </w:r>
      <w:r w:rsidR="00347149">
        <w:rPr>
          <w:b/>
          <w:smallCaps/>
          <w:color w:val="005595"/>
          <w:sz w:val="28"/>
        </w:rPr>
        <w:tab/>
      </w:r>
      <w:r w:rsidR="00347149">
        <w:rPr>
          <w:b/>
          <w:smallCaps/>
          <w:color w:val="005595"/>
          <w:spacing w:val="-10"/>
          <w:sz w:val="28"/>
        </w:rPr>
        <w:t>6</w:t>
      </w:r>
    </w:p>
    <w:p w14:paraId="7B751DB2" w14:textId="3CAD7DFE" w:rsidR="00347149" w:rsidRDefault="006E6361" w:rsidP="00347149">
      <w:pPr>
        <w:numPr>
          <w:ilvl w:val="0"/>
          <w:numId w:val="10"/>
        </w:numPr>
        <w:tabs>
          <w:tab w:val="left" w:pos="868"/>
          <w:tab w:val="right" w:leader="dot" w:pos="9778"/>
        </w:tabs>
        <w:spacing w:before="120"/>
        <w:rPr>
          <w:b/>
          <w:sz w:val="28"/>
        </w:rPr>
      </w:pPr>
      <w:r>
        <w:rPr>
          <w:b/>
          <w:smallCaps/>
          <w:color w:val="005595"/>
          <w:spacing w:val="15"/>
          <w:sz w:val="28"/>
          <w:lang w:val="sr-Cyrl-RS"/>
        </w:rPr>
        <w:t>Pravna</w:t>
      </w:r>
      <w:r w:rsidR="00347149">
        <w:rPr>
          <w:b/>
          <w:smallCaps/>
          <w:color w:val="005595"/>
          <w:spacing w:val="15"/>
          <w:sz w:val="28"/>
          <w:lang w:val="sr-Cyrl-RS"/>
        </w:rPr>
        <w:t xml:space="preserve"> </w:t>
      </w:r>
      <w:r>
        <w:rPr>
          <w:b/>
          <w:smallCaps/>
          <w:color w:val="005595"/>
          <w:spacing w:val="15"/>
          <w:sz w:val="28"/>
          <w:lang w:val="sr-Cyrl-RS"/>
        </w:rPr>
        <w:t>analiza</w:t>
      </w:r>
      <w:r w:rsidR="00347149">
        <w:rPr>
          <w:b/>
          <w:smallCaps/>
          <w:color w:val="005595"/>
          <w:spacing w:val="15"/>
          <w:sz w:val="28"/>
          <w:lang w:val="sr-Cyrl-RS"/>
        </w:rPr>
        <w:t xml:space="preserve"> </w:t>
      </w:r>
      <w:r>
        <w:rPr>
          <w:b/>
          <w:smallCaps/>
          <w:color w:val="005595"/>
          <w:spacing w:val="15"/>
          <w:sz w:val="28"/>
          <w:lang w:val="sr-Cyrl-RS"/>
        </w:rPr>
        <w:t>i</w:t>
      </w:r>
      <w:r w:rsidR="00347149">
        <w:rPr>
          <w:b/>
          <w:smallCaps/>
          <w:color w:val="005595"/>
          <w:spacing w:val="15"/>
          <w:sz w:val="28"/>
          <w:lang w:val="sr-Cyrl-RS"/>
        </w:rPr>
        <w:t xml:space="preserve"> </w:t>
      </w:r>
      <w:r>
        <w:rPr>
          <w:b/>
          <w:smallCaps/>
          <w:color w:val="005595"/>
          <w:spacing w:val="15"/>
          <w:sz w:val="28"/>
          <w:lang w:val="sr-Cyrl-RS"/>
        </w:rPr>
        <w:t>preporuke</w:t>
      </w:r>
      <w:r w:rsidR="00347149">
        <w:rPr>
          <w:b/>
          <w:smallCaps/>
          <w:color w:val="005595"/>
          <w:sz w:val="28"/>
        </w:rPr>
        <w:tab/>
      </w:r>
      <w:r w:rsidR="00347149">
        <w:rPr>
          <w:b/>
          <w:smallCaps/>
          <w:color w:val="005595"/>
          <w:spacing w:val="-10"/>
          <w:sz w:val="28"/>
        </w:rPr>
        <w:t>7</w:t>
      </w:r>
    </w:p>
    <w:p w14:paraId="730E9EB5" w14:textId="12EB6896" w:rsidR="00347149" w:rsidRDefault="00347149" w:rsidP="00347149">
      <w:pPr>
        <w:pStyle w:val="BodyText"/>
        <w:rPr>
          <w:rFonts w:ascii="Arial"/>
          <w:sz w:val="20"/>
          <w:lang w:val="sr-Cyrl-RS"/>
        </w:rPr>
      </w:pPr>
    </w:p>
    <w:p w14:paraId="7DB57966" w14:textId="1B035822" w:rsidR="00843802" w:rsidRPr="00A54F50" w:rsidRDefault="00843802">
      <w:pPr>
        <w:pStyle w:val="BodyText"/>
        <w:spacing w:before="7"/>
        <w:ind w:left="0"/>
        <w:rPr>
          <w:rFonts w:ascii="Arial"/>
          <w:b/>
          <w:i/>
          <w:sz w:val="12"/>
          <w:lang w:val="sr-Cyrl-RS"/>
        </w:rPr>
      </w:pPr>
    </w:p>
    <w:sdt>
      <w:sdtPr>
        <w:rPr>
          <w:lang w:val="sr-Cyrl-RS"/>
        </w:rPr>
        <w:id w:val="1734585384"/>
        <w:docPartObj>
          <w:docPartGallery w:val="Table of Contents"/>
          <w:docPartUnique/>
        </w:docPartObj>
      </w:sdtPr>
      <w:sdtEndPr/>
      <w:sdtContent>
        <w:p w14:paraId="35FF3724" w14:textId="635947E8" w:rsidR="00843802" w:rsidRPr="00A54F50" w:rsidRDefault="00274FC4" w:rsidP="00916AF3">
          <w:pPr>
            <w:pStyle w:val="TOC1"/>
            <w:numPr>
              <w:ilvl w:val="1"/>
              <w:numId w:val="11"/>
            </w:numPr>
            <w:tabs>
              <w:tab w:val="left" w:pos="1415"/>
              <w:tab w:val="right" w:leader="dot" w:pos="9810"/>
            </w:tabs>
            <w:ind w:right="1070"/>
            <w:rPr>
              <w:lang w:val="sr-Cyrl-RS"/>
            </w:rPr>
          </w:pPr>
          <w:hyperlink w:anchor="_TOC_250002" w:history="1">
            <w:r w:rsidR="006E6361">
              <w:rPr>
                <w:color w:val="005595"/>
                <w:lang w:val="sr-Cyrl-RS"/>
              </w:rPr>
              <w:t>Predlog</w:t>
            </w:r>
            <w:r w:rsidR="00347149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izmena</w:t>
            </w:r>
            <w:r w:rsidR="00347149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Poglavlja</w:t>
            </w:r>
            <w:r w:rsidR="00CE5810" w:rsidRPr="00A54F50">
              <w:rPr>
                <w:color w:val="005595"/>
                <w:lang w:val="sr-Cyrl-RS"/>
              </w:rPr>
              <w:t xml:space="preserve"> II</w:t>
            </w:r>
            <w:r w:rsidR="00C70D49">
              <w:rPr>
                <w:color w:val="005595"/>
                <w:lang w:val="sr-Cyrl-RS"/>
              </w:rPr>
              <w:t>:</w:t>
            </w:r>
            <w:r w:rsidR="00CE5810" w:rsidRPr="00A54F50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Postupak</w:t>
            </w:r>
            <w:r w:rsidR="00347149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vođenja</w:t>
            </w:r>
            <w:r w:rsidR="00347149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biračkog</w:t>
            </w:r>
            <w:r w:rsidR="00347149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spiska</w:t>
            </w:r>
            <w:r w:rsidR="00CE5810" w:rsidRPr="00A54F50">
              <w:rPr>
                <w:color w:val="005595"/>
                <w:lang w:val="sr-Cyrl-RS"/>
              </w:rPr>
              <w:t xml:space="preserve">, </w:t>
            </w:r>
            <w:r w:rsidR="006E6361">
              <w:rPr>
                <w:color w:val="005595"/>
                <w:lang w:val="sr-Cyrl-RS"/>
              </w:rPr>
              <w:t>Odeljak</w:t>
            </w:r>
            <w:r w:rsidR="00C70D49">
              <w:rPr>
                <w:color w:val="005595"/>
                <w:lang w:val="sr-Cyrl-RS"/>
              </w:rPr>
              <w:t xml:space="preserve"> 4:</w:t>
            </w:r>
            <w:r w:rsidR="00CE5810" w:rsidRPr="00A54F50">
              <w:rPr>
                <w:color w:val="005595"/>
                <w:spacing w:val="-5"/>
                <w:lang w:val="sr-Cyrl-RS"/>
              </w:rPr>
              <w:t xml:space="preserve"> </w:t>
            </w:r>
            <w:r w:rsidR="006E6361">
              <w:rPr>
                <w:color w:val="005595"/>
                <w:spacing w:val="-5"/>
                <w:lang w:val="sr-Cyrl-RS"/>
              </w:rPr>
              <w:t>Izlaganje</w:t>
            </w:r>
            <w:r w:rsidR="00347149">
              <w:rPr>
                <w:color w:val="005595"/>
                <w:spacing w:val="-5"/>
                <w:lang w:val="sr-Cyrl-RS"/>
              </w:rPr>
              <w:t xml:space="preserve"> </w:t>
            </w:r>
            <w:r w:rsidR="006E6361">
              <w:rPr>
                <w:color w:val="005595"/>
                <w:spacing w:val="-5"/>
                <w:lang w:val="sr-Cyrl-RS"/>
              </w:rPr>
              <w:t>delova</w:t>
            </w:r>
            <w:r w:rsidR="00347149">
              <w:rPr>
                <w:color w:val="005595"/>
                <w:spacing w:val="-5"/>
                <w:lang w:val="sr-Cyrl-RS"/>
              </w:rPr>
              <w:t xml:space="preserve"> </w:t>
            </w:r>
            <w:r w:rsidR="006E6361">
              <w:rPr>
                <w:color w:val="005595"/>
                <w:spacing w:val="-5"/>
                <w:lang w:val="sr-Cyrl-RS"/>
              </w:rPr>
              <w:t>biračkog</w:t>
            </w:r>
            <w:r w:rsidR="00347149">
              <w:rPr>
                <w:color w:val="005595"/>
                <w:spacing w:val="-5"/>
                <w:lang w:val="sr-Cyrl-RS"/>
              </w:rPr>
              <w:t xml:space="preserve"> </w:t>
            </w:r>
            <w:r w:rsidR="006E6361">
              <w:rPr>
                <w:color w:val="005595"/>
                <w:spacing w:val="-5"/>
                <w:lang w:val="sr-Cyrl-RS"/>
              </w:rPr>
              <w:t>spiska</w:t>
            </w:r>
            <w:r w:rsidR="00347149">
              <w:rPr>
                <w:color w:val="005595"/>
                <w:spacing w:val="-5"/>
                <w:lang w:val="sr-Cyrl-RS"/>
              </w:rPr>
              <w:t xml:space="preserve"> </w:t>
            </w:r>
            <w:r w:rsidR="006E6361">
              <w:rPr>
                <w:color w:val="005595"/>
                <w:spacing w:val="-5"/>
                <w:lang w:val="sr-Cyrl-RS"/>
              </w:rPr>
              <w:t>i</w:t>
            </w:r>
            <w:r w:rsidR="00347149">
              <w:rPr>
                <w:color w:val="005595"/>
                <w:spacing w:val="-5"/>
                <w:lang w:val="sr-Cyrl-RS"/>
              </w:rPr>
              <w:t xml:space="preserve"> </w:t>
            </w:r>
            <w:r w:rsidR="006E6361">
              <w:rPr>
                <w:color w:val="005595"/>
                <w:spacing w:val="-5"/>
                <w:lang w:val="sr-Cyrl-RS"/>
              </w:rPr>
              <w:t>zaključenje</w:t>
            </w:r>
            <w:r w:rsidR="00347149">
              <w:rPr>
                <w:color w:val="005595"/>
                <w:spacing w:val="-5"/>
                <w:lang w:val="sr-Cyrl-RS"/>
              </w:rPr>
              <w:t xml:space="preserve"> </w:t>
            </w:r>
            <w:r w:rsidR="006E6361">
              <w:rPr>
                <w:color w:val="005595"/>
                <w:spacing w:val="-5"/>
                <w:lang w:val="sr-Cyrl-RS"/>
              </w:rPr>
              <w:t>biračkog</w:t>
            </w:r>
            <w:r w:rsidR="00347149">
              <w:rPr>
                <w:color w:val="005595"/>
                <w:spacing w:val="-5"/>
                <w:lang w:val="sr-Cyrl-RS"/>
              </w:rPr>
              <w:t xml:space="preserve"> </w:t>
            </w:r>
            <w:r w:rsidR="006E6361">
              <w:rPr>
                <w:color w:val="005595"/>
                <w:spacing w:val="-5"/>
                <w:lang w:val="sr-Cyrl-RS"/>
              </w:rPr>
              <w:t>spiska</w:t>
            </w:r>
            <w:r w:rsidR="00CE5810" w:rsidRPr="00A54F50">
              <w:rPr>
                <w:color w:val="005595"/>
                <w:lang w:val="sr-Cyrl-RS"/>
              </w:rPr>
              <w:tab/>
            </w:r>
            <w:r w:rsidR="00CE5810" w:rsidRPr="00A54F50">
              <w:rPr>
                <w:color w:val="005595"/>
                <w:spacing w:val="-10"/>
                <w:lang w:val="sr-Cyrl-RS"/>
              </w:rPr>
              <w:t>7</w:t>
            </w:r>
          </w:hyperlink>
        </w:p>
        <w:p w14:paraId="1AF327F0" w14:textId="52C7238B" w:rsidR="00843802" w:rsidRPr="00A54F50" w:rsidRDefault="00347149" w:rsidP="00916AF3">
          <w:pPr>
            <w:pStyle w:val="TOC1"/>
            <w:numPr>
              <w:ilvl w:val="1"/>
              <w:numId w:val="11"/>
            </w:numPr>
            <w:tabs>
              <w:tab w:val="left" w:pos="1415"/>
              <w:tab w:val="right" w:leader="dot" w:pos="9900"/>
            </w:tabs>
            <w:ind w:right="980"/>
            <w:rPr>
              <w:lang w:val="sr-Cyrl-RS"/>
            </w:rPr>
          </w:pPr>
          <w:r>
            <w:rPr>
              <w:noProof/>
            </w:rPr>
            <w:drawing>
              <wp:anchor distT="0" distB="0" distL="114300" distR="114300" simplePos="0" relativeHeight="487588352" behindDoc="0" locked="0" layoutInCell="1" allowOverlap="1" wp14:anchorId="74E212BA" wp14:editId="2A7C60F2">
                <wp:simplePos x="0" y="0"/>
                <wp:positionH relativeFrom="column">
                  <wp:posOffset>6369050</wp:posOffset>
                </wp:positionH>
                <wp:positionV relativeFrom="paragraph">
                  <wp:posOffset>262255</wp:posOffset>
                </wp:positionV>
                <wp:extent cx="213995" cy="85725"/>
                <wp:effectExtent l="0" t="0" r="0" b="9525"/>
                <wp:wrapTopAndBottom/>
                <wp:docPr id="21" name="Image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 20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995" cy="85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hyperlink w:anchor="_TOC_250001" w:history="1">
            <w:r w:rsidR="006E6361">
              <w:rPr>
                <w:color w:val="005595"/>
                <w:lang w:val="sr-Cyrl-RS"/>
              </w:rPr>
              <w:t>Predlog</w:t>
            </w:r>
            <w:r w:rsidRPr="00347149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izmene</w:t>
            </w:r>
            <w:r w:rsidRPr="00347149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Poglavlja</w:t>
            </w:r>
            <w:r w:rsidR="00CE5810" w:rsidRPr="00A54F50">
              <w:rPr>
                <w:color w:val="005595"/>
                <w:spacing w:val="-13"/>
                <w:lang w:val="sr-Cyrl-RS"/>
              </w:rPr>
              <w:t xml:space="preserve"> </w:t>
            </w:r>
            <w:r w:rsidR="00CE5810" w:rsidRPr="00A54F50">
              <w:rPr>
                <w:color w:val="005595"/>
                <w:lang w:val="sr-Cyrl-RS"/>
              </w:rPr>
              <w:t>IV:</w:t>
            </w:r>
            <w:r w:rsidR="00CE5810" w:rsidRPr="00A54F50">
              <w:rPr>
                <w:color w:val="005595"/>
                <w:spacing w:val="-12"/>
                <w:lang w:val="sr-Cyrl-RS"/>
              </w:rPr>
              <w:t xml:space="preserve"> </w:t>
            </w:r>
            <w:r w:rsidR="006E6361">
              <w:rPr>
                <w:color w:val="005595"/>
                <w:spacing w:val="-12"/>
                <w:lang w:val="sr-Cyrl-RS"/>
              </w:rPr>
              <w:t>Posebna</w:t>
            </w:r>
            <w:r>
              <w:rPr>
                <w:color w:val="005595"/>
                <w:spacing w:val="-12"/>
                <w:lang w:val="sr-Cyrl-RS"/>
              </w:rPr>
              <w:t xml:space="preserve"> </w:t>
            </w:r>
            <w:r w:rsidR="006E6361">
              <w:rPr>
                <w:color w:val="005595"/>
                <w:spacing w:val="-12"/>
                <w:lang w:val="sr-Cyrl-RS"/>
              </w:rPr>
              <w:t>prava</w:t>
            </w:r>
            <w:r>
              <w:rPr>
                <w:color w:val="005595"/>
                <w:spacing w:val="-12"/>
                <w:lang w:val="sr-Cyrl-RS"/>
              </w:rPr>
              <w:t xml:space="preserve"> </w:t>
            </w:r>
            <w:r w:rsidR="006E6361">
              <w:rPr>
                <w:color w:val="005595"/>
                <w:spacing w:val="-12"/>
                <w:lang w:val="sr-Cyrl-RS"/>
              </w:rPr>
              <w:t>učesnika</w:t>
            </w:r>
            <w:r>
              <w:rPr>
                <w:color w:val="005595"/>
                <w:spacing w:val="-12"/>
                <w:lang w:val="sr-Cyrl-RS"/>
              </w:rPr>
              <w:t xml:space="preserve"> </w:t>
            </w:r>
            <w:r w:rsidR="006E6361">
              <w:rPr>
                <w:color w:val="005595"/>
                <w:spacing w:val="-12"/>
                <w:lang w:val="sr-Cyrl-RS"/>
              </w:rPr>
              <w:t>na</w:t>
            </w:r>
            <w:r>
              <w:rPr>
                <w:color w:val="005595"/>
                <w:spacing w:val="-12"/>
                <w:lang w:val="sr-Cyrl-RS"/>
              </w:rPr>
              <w:t xml:space="preserve"> </w:t>
            </w:r>
            <w:r w:rsidR="006E6361">
              <w:rPr>
                <w:color w:val="005595"/>
                <w:spacing w:val="-12"/>
                <w:lang w:val="sr-Cyrl-RS"/>
              </w:rPr>
              <w:t>izborima</w:t>
            </w:r>
            <w:r w:rsidR="00CE5810" w:rsidRPr="00A54F50">
              <w:rPr>
                <w:color w:val="005595"/>
                <w:spacing w:val="-11"/>
                <w:lang w:val="sr-Cyrl-RS"/>
              </w:rPr>
              <w:t xml:space="preserve"> </w:t>
            </w:r>
            <w:r w:rsidR="00CE5810" w:rsidRPr="00A54F50">
              <w:rPr>
                <w:color w:val="005595"/>
                <w:lang w:val="sr-Cyrl-RS"/>
              </w:rPr>
              <w:t>–</w:t>
            </w:r>
            <w:r w:rsidR="00CE5810" w:rsidRPr="00A54F50">
              <w:rPr>
                <w:color w:val="005595"/>
                <w:spacing w:val="-11"/>
                <w:lang w:val="sr-Cyrl-RS"/>
              </w:rPr>
              <w:t xml:space="preserve"> </w:t>
            </w:r>
            <w:r w:rsidR="006E6361">
              <w:rPr>
                <w:color w:val="005595"/>
                <w:spacing w:val="-11"/>
                <w:lang w:val="sr-Cyrl-RS"/>
              </w:rPr>
              <w:t>Pravo</w:t>
            </w:r>
            <w:r>
              <w:rPr>
                <w:color w:val="005595"/>
                <w:spacing w:val="-11"/>
                <w:lang w:val="sr-Cyrl-RS"/>
              </w:rPr>
              <w:t xml:space="preserve"> </w:t>
            </w:r>
            <w:r w:rsidR="006E6361">
              <w:rPr>
                <w:color w:val="005595"/>
                <w:spacing w:val="-11"/>
                <w:lang w:val="sr-Cyrl-RS"/>
              </w:rPr>
              <w:t>na</w:t>
            </w:r>
            <w:r>
              <w:rPr>
                <w:color w:val="005595"/>
                <w:spacing w:val="-11"/>
                <w:lang w:val="sr-Cyrl-RS"/>
              </w:rPr>
              <w:t xml:space="preserve"> </w:t>
            </w:r>
            <w:r w:rsidR="006E6361">
              <w:rPr>
                <w:color w:val="005595"/>
                <w:spacing w:val="-11"/>
                <w:lang w:val="sr-Cyrl-RS"/>
              </w:rPr>
              <w:t>uvid</w:t>
            </w:r>
            <w:r>
              <w:rPr>
                <w:color w:val="005595"/>
                <w:spacing w:val="-11"/>
                <w:lang w:val="sr-Cyrl-RS"/>
              </w:rPr>
              <w:t xml:space="preserve"> </w:t>
            </w:r>
            <w:r w:rsidR="006E6361">
              <w:rPr>
                <w:color w:val="005595"/>
                <w:spacing w:val="-11"/>
                <w:lang w:val="sr-Cyrl-RS"/>
              </w:rPr>
              <w:t>i</w:t>
            </w:r>
            <w:r>
              <w:rPr>
                <w:color w:val="005595"/>
                <w:spacing w:val="-11"/>
                <w:lang w:val="sr-Cyrl-RS"/>
              </w:rPr>
              <w:t xml:space="preserve"> </w:t>
            </w:r>
            <w:r w:rsidR="006E6361">
              <w:rPr>
                <w:color w:val="005595"/>
                <w:spacing w:val="-11"/>
                <w:lang w:val="sr-Cyrl-RS"/>
              </w:rPr>
              <w:t>podnošenje</w:t>
            </w:r>
            <w:r>
              <w:rPr>
                <w:color w:val="005595"/>
                <w:spacing w:val="-11"/>
                <w:lang w:val="sr-Cyrl-RS"/>
              </w:rPr>
              <w:t xml:space="preserve"> </w:t>
            </w:r>
            <w:r w:rsidR="006E6361">
              <w:rPr>
                <w:color w:val="005595"/>
                <w:spacing w:val="-11"/>
                <w:lang w:val="sr-Cyrl-RS"/>
              </w:rPr>
              <w:t>zahteva</w:t>
            </w:r>
            <w:r>
              <w:rPr>
                <w:color w:val="005595"/>
                <w:spacing w:val="-11"/>
                <w:lang w:val="sr-Cyrl-RS"/>
              </w:rPr>
              <w:t xml:space="preserve"> </w:t>
            </w:r>
            <w:r w:rsidR="006E6361">
              <w:rPr>
                <w:color w:val="005595"/>
                <w:spacing w:val="-11"/>
                <w:lang w:val="sr-Cyrl-RS"/>
              </w:rPr>
              <w:t>za</w:t>
            </w:r>
            <w:r>
              <w:rPr>
                <w:color w:val="005595"/>
                <w:spacing w:val="-11"/>
                <w:lang w:val="sr-Cyrl-RS"/>
              </w:rPr>
              <w:t xml:space="preserve"> </w:t>
            </w:r>
            <w:r w:rsidR="006E6361">
              <w:rPr>
                <w:color w:val="005595"/>
                <w:spacing w:val="-11"/>
                <w:lang w:val="sr-Cyrl-RS"/>
              </w:rPr>
              <w:t>promenu</w:t>
            </w:r>
            <w:r>
              <w:rPr>
                <w:color w:val="005595"/>
                <w:spacing w:val="-11"/>
                <w:lang w:val="sr-Cyrl-RS"/>
              </w:rPr>
              <w:t xml:space="preserve"> </w:t>
            </w:r>
            <w:r w:rsidR="006E6361">
              <w:rPr>
                <w:color w:val="005595"/>
                <w:spacing w:val="-11"/>
                <w:lang w:val="sr-Cyrl-RS"/>
              </w:rPr>
              <w:t>u</w:t>
            </w:r>
            <w:r>
              <w:rPr>
                <w:color w:val="005595"/>
                <w:spacing w:val="-11"/>
                <w:lang w:val="sr-Cyrl-RS"/>
              </w:rPr>
              <w:t xml:space="preserve"> </w:t>
            </w:r>
            <w:r w:rsidR="006E6361">
              <w:rPr>
                <w:color w:val="005595"/>
                <w:spacing w:val="-11"/>
                <w:lang w:val="sr-Cyrl-RS"/>
              </w:rPr>
              <w:t>biračkom</w:t>
            </w:r>
            <w:r>
              <w:rPr>
                <w:color w:val="005595"/>
                <w:spacing w:val="-11"/>
                <w:lang w:val="sr-Cyrl-RS"/>
              </w:rPr>
              <w:t xml:space="preserve"> </w:t>
            </w:r>
            <w:r w:rsidR="006E6361">
              <w:rPr>
                <w:color w:val="005595"/>
                <w:spacing w:val="-11"/>
                <w:lang w:val="sr-Cyrl-RS"/>
              </w:rPr>
              <w:t>spisku</w:t>
            </w:r>
            <w:r>
              <w:rPr>
                <w:color w:val="005595"/>
                <w:spacing w:val="-11"/>
                <w:lang w:val="sr-Cyrl-RS"/>
              </w:rPr>
              <w:t xml:space="preserve"> </w:t>
            </w:r>
            <w:r w:rsidR="006E6361">
              <w:rPr>
                <w:color w:val="005595"/>
                <w:spacing w:val="-11"/>
                <w:lang w:val="sr-Cyrl-RS"/>
              </w:rPr>
              <w:t>i</w:t>
            </w:r>
            <w:r>
              <w:rPr>
                <w:color w:val="005595"/>
                <w:spacing w:val="-11"/>
                <w:lang w:val="sr-Cyrl-RS"/>
              </w:rPr>
              <w:t xml:space="preserve"> </w:t>
            </w:r>
            <w:r w:rsidR="006E6361">
              <w:rPr>
                <w:color w:val="005595"/>
                <w:spacing w:val="-11"/>
                <w:lang w:val="sr-Cyrl-RS"/>
              </w:rPr>
              <w:t>novo</w:t>
            </w:r>
            <w:r>
              <w:rPr>
                <w:color w:val="005595"/>
                <w:spacing w:val="-11"/>
                <w:lang w:val="sr-Cyrl-RS"/>
              </w:rPr>
              <w:t xml:space="preserve"> </w:t>
            </w:r>
            <w:r w:rsidR="006E6361">
              <w:rPr>
                <w:color w:val="005595"/>
                <w:spacing w:val="-11"/>
                <w:lang w:val="sr-Cyrl-RS"/>
              </w:rPr>
              <w:t>Poglavlje</w:t>
            </w:r>
            <w:r w:rsidR="00CE5810" w:rsidRPr="00A54F50">
              <w:rPr>
                <w:color w:val="005595"/>
                <w:spacing w:val="-7"/>
                <w:lang w:val="sr-Cyrl-RS"/>
              </w:rPr>
              <w:t xml:space="preserve"> </w:t>
            </w:r>
            <w:r w:rsidR="00CE5810" w:rsidRPr="00A54F50">
              <w:rPr>
                <w:color w:val="005595"/>
                <w:lang w:val="sr-Cyrl-RS"/>
              </w:rPr>
              <w:t>VI</w:t>
            </w:r>
            <w:r w:rsidR="006E6361">
              <w:rPr>
                <w:color w:val="005595"/>
                <w:lang w:val="sr-Cyrl-RS"/>
              </w:rPr>
              <w:t>a</w:t>
            </w:r>
            <w:r w:rsidR="00CE5810" w:rsidRPr="00A54F50">
              <w:rPr>
                <w:color w:val="005595"/>
                <w:lang w:val="sr-Cyrl-RS"/>
              </w:rPr>
              <w:tab/>
              <w:t xml:space="preserve"> </w:t>
            </w:r>
            <w:r w:rsidR="006E6361">
              <w:rPr>
                <w:color w:val="005595"/>
                <w:lang w:val="sr-Cyrl-RS"/>
              </w:rPr>
              <w:t>o</w:t>
            </w:r>
            <w:r w:rsidR="00C70D49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zaštiti</w:t>
            </w:r>
            <w:r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podataka</w:t>
            </w:r>
            <w:r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o</w:t>
            </w:r>
            <w:r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ličnosti</w:t>
            </w:r>
            <w:r w:rsidR="00CE5810" w:rsidRPr="00A54F50">
              <w:rPr>
                <w:color w:val="005595"/>
                <w:lang w:val="sr-Cyrl-RS"/>
              </w:rPr>
              <w:tab/>
            </w:r>
            <w:r w:rsidR="00CE5810" w:rsidRPr="00A54F50">
              <w:rPr>
                <w:color w:val="005595"/>
                <w:spacing w:val="-10"/>
                <w:lang w:val="sr-Cyrl-RS"/>
              </w:rPr>
              <w:t>7</w:t>
            </w:r>
          </w:hyperlink>
        </w:p>
        <w:p w14:paraId="7D4FDD14" w14:textId="4E9F4FE9" w:rsidR="00843802" w:rsidRPr="00A54F50" w:rsidRDefault="00274FC4" w:rsidP="00916AF3">
          <w:pPr>
            <w:pStyle w:val="TOC1"/>
            <w:numPr>
              <w:ilvl w:val="1"/>
              <w:numId w:val="11"/>
            </w:numPr>
            <w:tabs>
              <w:tab w:val="left" w:pos="1415"/>
              <w:tab w:val="right" w:leader="dot" w:pos="9990"/>
            </w:tabs>
            <w:spacing w:before="35"/>
            <w:ind w:right="1070"/>
            <w:rPr>
              <w:lang w:val="sr-Cyrl-RS"/>
            </w:rPr>
          </w:pPr>
          <w:hyperlink w:anchor="_TOC_250000" w:history="1">
            <w:r w:rsidR="006E6361">
              <w:rPr>
                <w:color w:val="005595"/>
                <w:lang w:val="sr-Cyrl-RS"/>
              </w:rPr>
              <w:t>Predloženo</w:t>
            </w:r>
            <w:r w:rsidR="00347149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novo</w:t>
            </w:r>
            <w:r w:rsidR="00347149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Poglavlje</w:t>
            </w:r>
            <w:r w:rsidR="00CE5810" w:rsidRPr="00A54F50">
              <w:rPr>
                <w:color w:val="005595"/>
                <w:lang w:val="sr-Cyrl-RS"/>
              </w:rPr>
              <w:t>/</w:t>
            </w:r>
            <w:r w:rsidR="006E6361">
              <w:rPr>
                <w:color w:val="005595"/>
                <w:lang w:val="sr-Cyrl-RS"/>
              </w:rPr>
              <w:t>članovi</w:t>
            </w:r>
            <w:r w:rsidR="000F6B1C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Zakona</w:t>
            </w:r>
            <w:r w:rsidR="000F6B1C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o</w:t>
            </w:r>
            <w:r w:rsidR="000F6B1C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jedinstvenom</w:t>
            </w:r>
            <w:r w:rsidR="000F6B1C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biračkom</w:t>
            </w:r>
            <w:r w:rsidR="000F6B1C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spisku</w:t>
            </w:r>
            <w:r w:rsidR="000F6B1C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u</w:t>
            </w:r>
            <w:r w:rsidR="000F6B1C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vezi</w:t>
            </w:r>
            <w:r w:rsidR="000F6B1C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sa</w:t>
            </w:r>
            <w:r w:rsidR="000F6B1C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njegovom</w:t>
            </w:r>
            <w:r w:rsidR="000F6B1C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revizijom</w:t>
            </w:r>
            <w:r w:rsidR="000F6B1C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i</w:t>
            </w:r>
            <w:r w:rsidR="000F6B1C">
              <w:rPr>
                <w:color w:val="005595"/>
                <w:lang w:val="sr-Cyrl-RS"/>
              </w:rPr>
              <w:t xml:space="preserve"> </w:t>
            </w:r>
            <w:r w:rsidR="006E6361">
              <w:rPr>
                <w:color w:val="005595"/>
                <w:lang w:val="sr-Cyrl-RS"/>
              </w:rPr>
              <w:t>vođenjem</w:t>
            </w:r>
            <w:r w:rsidR="00CE5810" w:rsidRPr="00A54F50">
              <w:rPr>
                <w:color w:val="005595"/>
                <w:lang w:val="sr-Cyrl-RS"/>
              </w:rPr>
              <w:tab/>
            </w:r>
            <w:r w:rsidR="00CE5810" w:rsidRPr="00A54F50">
              <w:rPr>
                <w:color w:val="005595"/>
                <w:spacing w:val="-10"/>
                <w:lang w:val="sr-Cyrl-RS"/>
              </w:rPr>
              <w:t>9</w:t>
            </w:r>
          </w:hyperlink>
        </w:p>
      </w:sdtContent>
    </w:sdt>
    <w:p w14:paraId="7BE13FA0" w14:textId="348E4AF3" w:rsidR="00843802" w:rsidRPr="00A54F50" w:rsidRDefault="00843802">
      <w:pPr>
        <w:pStyle w:val="BodyText"/>
        <w:spacing w:before="6"/>
        <w:ind w:left="0"/>
        <w:rPr>
          <w:b/>
          <w:sz w:val="19"/>
          <w:lang w:val="sr-Cyrl-RS"/>
        </w:rPr>
      </w:pPr>
    </w:p>
    <w:p w14:paraId="49863C11" w14:textId="77777777" w:rsidR="00843802" w:rsidRDefault="00843802">
      <w:pPr>
        <w:pStyle w:val="BodyText"/>
        <w:rPr>
          <w:b/>
          <w:sz w:val="19"/>
          <w:lang w:val="sr-Cyrl-RS"/>
        </w:rPr>
      </w:pPr>
    </w:p>
    <w:p w14:paraId="51CB1181" w14:textId="77777777" w:rsidR="000F6B1C" w:rsidRDefault="000F6B1C">
      <w:pPr>
        <w:pStyle w:val="BodyText"/>
        <w:rPr>
          <w:b/>
          <w:sz w:val="19"/>
          <w:lang w:val="sr-Cyrl-RS"/>
        </w:rPr>
      </w:pPr>
    </w:p>
    <w:p w14:paraId="766B5AF3" w14:textId="185E9952" w:rsidR="000F6B1C" w:rsidRDefault="000F6B1C" w:rsidP="000F6B1C">
      <w:pPr>
        <w:spacing w:before="66"/>
        <w:ind w:left="720" w:right="234"/>
        <w:rPr>
          <w:sz w:val="24"/>
        </w:rPr>
      </w:pPr>
      <w:r>
        <w:rPr>
          <w:b/>
          <w:color w:val="1F487C"/>
          <w:spacing w:val="15"/>
          <w:sz w:val="24"/>
        </w:rPr>
        <w:t>A</w:t>
      </w:r>
      <w:r w:rsidR="006E6361">
        <w:rPr>
          <w:b/>
          <w:color w:val="1F487C"/>
          <w:spacing w:val="15"/>
          <w:sz w:val="24"/>
          <w:lang w:val="sr-Cyrl-RS"/>
        </w:rPr>
        <w:t>NEKS</w:t>
      </w:r>
      <w:r>
        <w:rPr>
          <w:color w:val="1F487C"/>
          <w:spacing w:val="15"/>
          <w:sz w:val="24"/>
        </w:rPr>
        <w:t>:</w:t>
      </w:r>
      <w:r>
        <w:rPr>
          <w:color w:val="1F487C"/>
          <w:spacing w:val="80"/>
          <w:sz w:val="24"/>
        </w:rPr>
        <w:t xml:space="preserve"> </w:t>
      </w:r>
      <w:r w:rsidR="006E6361">
        <w:rPr>
          <w:color w:val="1F487C"/>
          <w:spacing w:val="16"/>
          <w:sz w:val="24"/>
          <w:lang w:val="sr-Cyrl-RS"/>
        </w:rPr>
        <w:t>Ažuriran</w:t>
      </w:r>
      <w:r>
        <w:rPr>
          <w:color w:val="1F487C"/>
          <w:spacing w:val="16"/>
          <w:sz w:val="24"/>
          <w:lang w:val="sr-Cyrl-RS"/>
        </w:rPr>
        <w:t xml:space="preserve"> </w:t>
      </w:r>
      <w:r w:rsidR="006E6361">
        <w:rPr>
          <w:color w:val="1F487C"/>
          <w:spacing w:val="16"/>
          <w:sz w:val="24"/>
          <w:lang w:val="sr-Cyrl-RS"/>
        </w:rPr>
        <w:t>Nacrt</w:t>
      </w:r>
      <w:r>
        <w:rPr>
          <w:color w:val="1F487C"/>
          <w:spacing w:val="16"/>
          <w:sz w:val="24"/>
          <w:lang w:val="sr-Cyrl-RS"/>
        </w:rPr>
        <w:t xml:space="preserve"> </w:t>
      </w:r>
      <w:r w:rsidR="006E6361">
        <w:rPr>
          <w:color w:val="1F487C"/>
          <w:spacing w:val="16"/>
          <w:sz w:val="24"/>
          <w:lang w:val="sr-Cyrl-RS"/>
        </w:rPr>
        <w:t>predloga</w:t>
      </w:r>
      <w:r>
        <w:rPr>
          <w:color w:val="1F487C"/>
          <w:spacing w:val="16"/>
          <w:sz w:val="24"/>
          <w:lang w:val="sr-Cyrl-RS"/>
        </w:rPr>
        <w:t xml:space="preserve"> </w:t>
      </w:r>
      <w:r w:rsidR="006E6361">
        <w:rPr>
          <w:color w:val="1F487C"/>
          <w:spacing w:val="16"/>
          <w:sz w:val="24"/>
          <w:lang w:val="sr-Cyrl-RS"/>
        </w:rPr>
        <w:t>izmena</w:t>
      </w:r>
      <w:r>
        <w:rPr>
          <w:color w:val="1F487C"/>
          <w:spacing w:val="16"/>
          <w:sz w:val="24"/>
          <w:lang w:val="sr-Cyrl-RS"/>
        </w:rPr>
        <w:t xml:space="preserve"> </w:t>
      </w:r>
      <w:r w:rsidR="006E6361">
        <w:rPr>
          <w:color w:val="1F487C"/>
          <w:spacing w:val="16"/>
          <w:sz w:val="24"/>
          <w:lang w:val="sr-Cyrl-RS"/>
        </w:rPr>
        <w:t>i</w:t>
      </w:r>
      <w:r>
        <w:rPr>
          <w:color w:val="1F487C"/>
          <w:spacing w:val="16"/>
          <w:sz w:val="24"/>
          <w:lang w:val="sr-Cyrl-RS"/>
        </w:rPr>
        <w:t xml:space="preserve"> </w:t>
      </w:r>
      <w:r w:rsidR="006E6361">
        <w:rPr>
          <w:color w:val="1F487C"/>
          <w:spacing w:val="16"/>
          <w:sz w:val="24"/>
          <w:lang w:val="sr-Cyrl-RS"/>
        </w:rPr>
        <w:t>dopuna</w:t>
      </w:r>
      <w:r>
        <w:rPr>
          <w:color w:val="1F487C"/>
          <w:spacing w:val="16"/>
          <w:sz w:val="24"/>
          <w:lang w:val="sr-Cyrl-RS"/>
        </w:rPr>
        <w:t xml:space="preserve"> </w:t>
      </w:r>
      <w:r w:rsidR="006E6361">
        <w:rPr>
          <w:color w:val="1F487C"/>
          <w:spacing w:val="16"/>
          <w:sz w:val="24"/>
          <w:lang w:val="sr-Cyrl-RS"/>
        </w:rPr>
        <w:t>Zakona</w:t>
      </w:r>
      <w:r>
        <w:rPr>
          <w:color w:val="1F487C"/>
          <w:spacing w:val="16"/>
          <w:sz w:val="24"/>
          <w:lang w:val="sr-Cyrl-RS"/>
        </w:rPr>
        <w:t xml:space="preserve"> </w:t>
      </w:r>
      <w:r w:rsidR="006E6361">
        <w:rPr>
          <w:color w:val="1F487C"/>
          <w:spacing w:val="16"/>
          <w:sz w:val="24"/>
          <w:lang w:val="sr-Cyrl-RS"/>
        </w:rPr>
        <w:t>o</w:t>
      </w:r>
      <w:r>
        <w:rPr>
          <w:color w:val="1F487C"/>
          <w:spacing w:val="16"/>
          <w:sz w:val="24"/>
          <w:lang w:val="sr-Cyrl-RS"/>
        </w:rPr>
        <w:t xml:space="preserve"> </w:t>
      </w:r>
      <w:r w:rsidR="006E6361">
        <w:rPr>
          <w:color w:val="1F487C"/>
          <w:spacing w:val="16"/>
          <w:sz w:val="24"/>
          <w:lang w:val="sr-Cyrl-RS"/>
        </w:rPr>
        <w:t>jedinstvenom</w:t>
      </w:r>
      <w:r>
        <w:rPr>
          <w:color w:val="1F487C"/>
          <w:spacing w:val="16"/>
          <w:sz w:val="24"/>
          <w:lang w:val="sr-Cyrl-RS"/>
        </w:rPr>
        <w:t xml:space="preserve"> </w:t>
      </w:r>
      <w:r w:rsidR="006E6361">
        <w:rPr>
          <w:color w:val="1F487C"/>
          <w:spacing w:val="16"/>
          <w:sz w:val="24"/>
          <w:lang w:val="sr-Cyrl-RS"/>
        </w:rPr>
        <w:t>biračkom</w:t>
      </w:r>
      <w:r>
        <w:rPr>
          <w:color w:val="1F487C"/>
          <w:spacing w:val="16"/>
          <w:sz w:val="24"/>
          <w:lang w:val="sr-Cyrl-RS"/>
        </w:rPr>
        <w:t xml:space="preserve"> </w:t>
      </w:r>
      <w:r w:rsidR="006E6361">
        <w:rPr>
          <w:color w:val="1F487C"/>
          <w:spacing w:val="16"/>
          <w:sz w:val="24"/>
          <w:lang w:val="sr-Cyrl-RS"/>
        </w:rPr>
        <w:t>spisku</w:t>
      </w:r>
    </w:p>
    <w:p w14:paraId="0B52C49B" w14:textId="3DBB341D" w:rsidR="000F6B1C" w:rsidRPr="00A54F50" w:rsidRDefault="000F6B1C">
      <w:pPr>
        <w:pStyle w:val="BodyText"/>
        <w:rPr>
          <w:b/>
          <w:sz w:val="19"/>
          <w:lang w:val="sr-Cyrl-RS"/>
        </w:rPr>
        <w:sectPr w:rsidR="000F6B1C" w:rsidRPr="00A54F50">
          <w:pgSz w:w="11910" w:h="16840"/>
          <w:pgMar w:top="920" w:right="425" w:bottom="1200" w:left="425" w:header="725" w:footer="946" w:gutter="0"/>
          <w:cols w:space="720"/>
        </w:sectPr>
      </w:pPr>
    </w:p>
    <w:p w14:paraId="0D3D0D19" w14:textId="77777777" w:rsidR="000D1065" w:rsidRDefault="000D1065">
      <w:pPr>
        <w:pStyle w:val="BodyText"/>
        <w:spacing w:before="8"/>
        <w:ind w:left="0"/>
        <w:rPr>
          <w:b/>
          <w:color w:val="005595"/>
          <w:spacing w:val="-2"/>
          <w:sz w:val="28"/>
          <w:lang w:val="sr-Latn-RS"/>
        </w:rPr>
      </w:pPr>
      <w:r>
        <w:rPr>
          <w:b/>
          <w:color w:val="005595"/>
          <w:spacing w:val="-2"/>
          <w:sz w:val="28"/>
          <w:lang w:val="sr-Latn-RS"/>
        </w:rPr>
        <w:lastRenderedPageBreak/>
        <w:t xml:space="preserve">          </w:t>
      </w:r>
    </w:p>
    <w:p w14:paraId="014D1BF2" w14:textId="160D69D8" w:rsidR="00843802" w:rsidRPr="00A54F50" w:rsidRDefault="000D1065">
      <w:pPr>
        <w:pStyle w:val="BodyText"/>
        <w:spacing w:before="8"/>
        <w:ind w:left="0"/>
        <w:rPr>
          <w:b/>
          <w:sz w:val="16"/>
          <w:lang w:val="sr-Cyrl-RS"/>
        </w:rPr>
      </w:pPr>
      <w:r>
        <w:rPr>
          <w:b/>
          <w:color w:val="005595"/>
          <w:spacing w:val="-2"/>
          <w:sz w:val="28"/>
          <w:lang w:val="sr-Latn-RS"/>
        </w:rPr>
        <w:t xml:space="preserve">          I.             </w:t>
      </w:r>
      <w:r w:rsidR="006E6361">
        <w:rPr>
          <w:b/>
          <w:color w:val="005595"/>
          <w:spacing w:val="-2"/>
          <w:sz w:val="28"/>
          <w:lang w:val="sr-Cyrl-RS"/>
        </w:rPr>
        <w:t>UVOD</w:t>
      </w:r>
    </w:p>
    <w:p w14:paraId="0635B7C8" w14:textId="661DAA73" w:rsidR="00843802" w:rsidRPr="00A54F50" w:rsidRDefault="000D1065">
      <w:pPr>
        <w:pStyle w:val="BodyText"/>
        <w:ind w:left="547"/>
        <w:rPr>
          <w:sz w:val="20"/>
          <w:lang w:val="sr-Cyrl-RS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B20E7BB" wp14:editId="6A963D47">
                <wp:extent cx="6158865" cy="12700"/>
                <wp:effectExtent l="0" t="0" r="0" b="0"/>
                <wp:docPr id="30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2700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158484" y="12179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2DD40C" id="Graphic 30" o:spid="_x0000_s1026" style="width:484.95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1588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" path="m6158484,l,,,12179r6158484,l6158484,xe" fillcolor="#4f81bc" stroked="f">
                <v:path arrowok="t"/>
                <w10:anchorlock/>
              </v:shape>
            </w:pict>
          </mc:Fallback>
        </mc:AlternateContent>
      </w:r>
    </w:p>
    <w:p w14:paraId="3D871A7F" w14:textId="77777777" w:rsidR="000D1065" w:rsidRDefault="000D1065" w:rsidP="000D1065">
      <w:pPr>
        <w:rPr>
          <w:b/>
          <w:color w:val="005595"/>
          <w:spacing w:val="-2"/>
          <w:sz w:val="28"/>
          <w:lang w:val="sr-Latn-RS"/>
        </w:rPr>
      </w:pPr>
      <w:r>
        <w:rPr>
          <w:b/>
          <w:color w:val="005595"/>
          <w:spacing w:val="-2"/>
          <w:sz w:val="28"/>
          <w:lang w:val="sr-Latn-RS"/>
        </w:rPr>
        <w:t xml:space="preserve">          </w:t>
      </w:r>
    </w:p>
    <w:p w14:paraId="26247BF7" w14:textId="0CC44EDB" w:rsidR="000D1065" w:rsidRPr="000D1065" w:rsidRDefault="006E6361" w:rsidP="000D1065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4"/>
        <w:rPr>
          <w:sz w:val="24"/>
          <w:lang w:val="sr-Cyrl-RS"/>
        </w:rPr>
      </w:pPr>
      <w:r>
        <w:rPr>
          <w:sz w:val="24"/>
          <w:lang w:val="sr-Cyrl-RS"/>
        </w:rPr>
        <w:t>Kancelarija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OEBS</w:t>
      </w:r>
      <w:r w:rsidR="000D1065" w:rsidRPr="000D1065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demokratske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institucije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ljudska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prava</w:t>
      </w:r>
      <w:r w:rsidR="000D1065" w:rsidRPr="000D1065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ODIHR</w:t>
      </w:r>
      <w:r w:rsidR="000D1065" w:rsidRPr="000D1065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objavila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D1065" w:rsidRPr="000D1065">
        <w:rPr>
          <w:sz w:val="24"/>
          <w:lang w:val="sr-Cyrl-RS"/>
        </w:rPr>
        <w:t xml:space="preserve"> 28. </w:t>
      </w:r>
      <w:r>
        <w:rPr>
          <w:sz w:val="24"/>
          <w:lang w:val="sr-Cyrl-RS"/>
        </w:rPr>
        <w:t>marta</w:t>
      </w:r>
      <w:r w:rsidR="000D1065" w:rsidRPr="000D1065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godine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Mišljenje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izmenama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dopunama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jedinstvenom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biračkom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spisku</w:t>
      </w:r>
      <w:r w:rsidR="000D1065" w:rsidRPr="000D1065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ZJBS</w:t>
      </w:r>
      <w:r w:rsidR="000D1065" w:rsidRPr="000D1065">
        <w:rPr>
          <w:sz w:val="24"/>
          <w:lang w:val="sr-Cyrl-RS"/>
        </w:rPr>
        <w:t xml:space="preserve">), </w:t>
      </w:r>
      <w:r>
        <w:rPr>
          <w:sz w:val="24"/>
          <w:lang w:val="sr-Cyrl-RS"/>
        </w:rPr>
        <w:t>koje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tražio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nadležni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skupštinski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Narodne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0D1065" w:rsidRPr="000D106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0D1065">
        <w:rPr>
          <w:sz w:val="24"/>
          <w:lang w:val="sr-Latn-RS"/>
        </w:rPr>
        <w:t>.</w:t>
      </w:r>
      <w:r w:rsidR="000D1065">
        <w:rPr>
          <w:rStyle w:val="FootnoteReference"/>
          <w:sz w:val="24"/>
          <w:lang w:val="sr-Latn-RS"/>
        </w:rPr>
        <w:footnoteReference w:id="1"/>
      </w:r>
    </w:p>
    <w:p w14:paraId="4B824C66" w14:textId="6BC7CFD5" w:rsidR="000D1065" w:rsidRPr="00A54F50" w:rsidRDefault="006E6361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4"/>
        <w:rPr>
          <w:sz w:val="24"/>
          <w:lang w:val="sr-Cyrl-RS"/>
        </w:rPr>
      </w:pPr>
      <w:r>
        <w:rPr>
          <w:sz w:val="24"/>
          <w:lang w:val="sr-Cyrl-RS"/>
        </w:rPr>
        <w:t>ZJBS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usvojen</w:t>
      </w:r>
      <w:r w:rsidR="000D1065" w:rsidRPr="00A54F50">
        <w:rPr>
          <w:sz w:val="24"/>
          <w:lang w:val="sr-Cyrl-RS"/>
        </w:rPr>
        <w:t xml:space="preserve"> 2009. </w:t>
      </w:r>
      <w:r>
        <w:rPr>
          <w:sz w:val="24"/>
          <w:lang w:val="sr-Cyrl-RS"/>
        </w:rPr>
        <w:t>godine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njime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uređuje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jedinstven</w:t>
      </w:r>
      <w:r w:rsidR="000F52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registar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državljana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imaju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pravo</w:t>
      </w:r>
      <w:r w:rsidR="000D1065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Jedinstveni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birački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spisak</w:t>
      </w:r>
      <w:r w:rsidR="000D1065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JBS</w:t>
      </w:r>
      <w:r w:rsidR="000D1065" w:rsidRPr="00A54F50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je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bio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predmet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brojnih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dugogodišnjih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0D1065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4B3AD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iznetih</w:t>
      </w:r>
      <w:r w:rsidR="004B3AD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izveštajima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posmatranim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izborima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odnose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poboljšanje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tačnosti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transparentnosti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biračkih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spiskova</w:t>
      </w:r>
      <w:r w:rsidR="000D1065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Nacrt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dopuna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ZJBS</w:t>
      </w:r>
      <w:r w:rsidR="000D1065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pregledao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martu</w:t>
      </w:r>
      <w:r w:rsidR="000D1065" w:rsidRPr="00A54F50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godine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pripremila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Srpska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napredna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stranka</w:t>
      </w:r>
      <w:r w:rsidR="000D1065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SNS</w:t>
      </w:r>
      <w:r w:rsidR="000D1065" w:rsidRPr="00A54F50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a</w:t>
      </w:r>
      <w:r w:rsidR="000F52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one</w:t>
      </w:r>
      <w:r w:rsidR="000F52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0F52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odnose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javni</w:t>
      </w:r>
      <w:r w:rsidR="004B3AD9" w:rsidRPr="00C70D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uvid</w:t>
      </w:r>
      <w:r w:rsidR="000D1065" w:rsidRPr="00C70D49">
        <w:rPr>
          <w:sz w:val="24"/>
          <w:lang w:val="sr-Cyrl-RS"/>
        </w:rPr>
        <w:t>,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objavljivanje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4B3AD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4B3AD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B3AD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tiču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njima</w:t>
      </w:r>
      <w:r w:rsidR="000F52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0F52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uvode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novi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članovi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zaštiti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0F52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ličnosti</w:t>
      </w:r>
      <w:r w:rsidR="000F52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reviziji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0D1065">
        <w:rPr>
          <w:sz w:val="24"/>
          <w:lang w:val="sr-Latn-RS"/>
        </w:rPr>
        <w:t>.</w:t>
      </w:r>
      <w:r w:rsidR="000D1065">
        <w:rPr>
          <w:rStyle w:val="FootnoteReference"/>
          <w:sz w:val="24"/>
          <w:lang w:val="sr-Latn-RS"/>
        </w:rPr>
        <w:footnoteReference w:id="2"/>
      </w:r>
    </w:p>
    <w:p w14:paraId="35F1D64C" w14:textId="6952C28A" w:rsidR="002371ED" w:rsidRPr="00A54F50" w:rsidRDefault="006E6361" w:rsidP="002371ED">
      <w:pPr>
        <w:pStyle w:val="ListParagraph"/>
        <w:numPr>
          <w:ilvl w:val="0"/>
          <w:numId w:val="9"/>
        </w:numPr>
        <w:tabs>
          <w:tab w:val="left" w:pos="1427"/>
        </w:tabs>
        <w:spacing w:before="121"/>
        <w:ind w:right="706"/>
        <w:rPr>
          <w:sz w:val="24"/>
          <w:lang w:val="sr-Cyrl-RS"/>
        </w:rPr>
      </w:pP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marta</w:t>
      </w:r>
      <w:r w:rsidR="002371ED" w:rsidRPr="00A54F50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godine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ODIHR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naveo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0F52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predložene</w:t>
      </w:r>
      <w:r w:rsidR="000F52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izmene</w:t>
      </w:r>
      <w:r w:rsidR="000F52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F52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dopune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sveukupno</w:t>
      </w:r>
      <w:r w:rsidR="00B775C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gledano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ciljem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ranijih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2371ED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izveštaja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posmatranim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izborima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pokazuju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nastojanje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delimično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adresiraju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dve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ključne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2371ED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ukoliko</w:t>
      </w:r>
      <w:r w:rsidR="0030284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sprovedu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pružaju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solidnu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osnovu</w:t>
      </w:r>
      <w:r w:rsidR="00B775C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B775C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njihovo</w:t>
      </w:r>
      <w:r w:rsidR="00B775C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poštovanje</w:t>
      </w:r>
      <w:r w:rsidR="002371ED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Dalje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međutim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napomenuo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B775CA">
        <w:rPr>
          <w:sz w:val="24"/>
          <w:lang w:val="sr-Cyrl-RS"/>
        </w:rPr>
        <w:t xml:space="preserve"> </w:t>
      </w:r>
      <w:r w:rsidR="00B775CA" w:rsidRPr="00BA5223"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iako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Nacrtu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rešene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određene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preporuke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ODIHIR</w:t>
      </w:r>
      <w:r w:rsidR="007120CA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ovih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Neformalnih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komentara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B775CA">
        <w:rPr>
          <w:sz w:val="24"/>
          <w:szCs w:val="24"/>
          <w:lang w:val="sr-Cyrl-RS"/>
        </w:rPr>
        <w:t xml:space="preserve"> 28. </w:t>
      </w:r>
      <w:r>
        <w:rPr>
          <w:sz w:val="24"/>
          <w:szCs w:val="24"/>
          <w:lang w:val="sr-Cyrl-RS"/>
        </w:rPr>
        <w:t>novembra</w:t>
      </w:r>
      <w:r w:rsidR="00B775CA">
        <w:rPr>
          <w:sz w:val="24"/>
          <w:szCs w:val="24"/>
          <w:lang w:val="sr-Cyrl-RS"/>
        </w:rPr>
        <w:t xml:space="preserve"> 2024. </w:t>
      </w:r>
      <w:r>
        <w:rPr>
          <w:sz w:val="24"/>
          <w:szCs w:val="24"/>
          <w:lang w:val="sr-Cyrl-RS"/>
        </w:rPr>
        <w:t>na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raniju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verziju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7120C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7120C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dostavljenih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skupštinskoj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Radnoj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grupi</w:t>
      </w:r>
      <w:r w:rsidR="00B775CA" w:rsidRPr="00BA5223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u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njemu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nekoliko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preporuka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ostalo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neobrađeno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sadrži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problematičnu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preradu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ranije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procesu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odlučivanja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predložene</w:t>
      </w:r>
      <w:r w:rsidR="007120C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reviziju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JBS</w:t>
      </w:r>
      <w:r w:rsidR="007120C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ODIHR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prethodno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</w:t>
      </w:r>
      <w:r w:rsidR="00B775CA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ocenio</w:t>
      </w:r>
      <w:r w:rsidR="002371ED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osnovu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analize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ODIHR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ponudio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set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dalje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jačanje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</w:t>
      </w:r>
      <w:r w:rsidR="007120C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120C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dopuna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međunarodnim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standardima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dobrom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praksom</w:t>
      </w:r>
      <w:r w:rsidR="002371ED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Pored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poziva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bude</w:t>
      </w:r>
      <w:r w:rsidR="004B3AD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predmet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inkluzivnih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opsežnih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delotvornih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konsultacija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uključujući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civilnim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društvom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blagovremenih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utvrđenim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pravilima</w:t>
      </w:r>
      <w:r w:rsidR="002371ED" w:rsidRPr="00A54F50">
        <w:rPr>
          <w:sz w:val="24"/>
          <w:lang w:val="sr-Cyrl-RS"/>
        </w:rPr>
        <w:t>.</w:t>
      </w:r>
    </w:p>
    <w:p w14:paraId="256C6C08" w14:textId="2F6A24EB" w:rsidR="00843802" w:rsidRPr="00A54F50" w:rsidRDefault="006E6361" w:rsidP="002371ED">
      <w:pPr>
        <w:pStyle w:val="ListParagraph"/>
        <w:numPr>
          <w:ilvl w:val="0"/>
          <w:numId w:val="9"/>
        </w:numPr>
        <w:tabs>
          <w:tab w:val="left" w:pos="1427"/>
        </w:tabs>
        <w:spacing w:before="121"/>
        <w:ind w:right="706"/>
        <w:rPr>
          <w:sz w:val="24"/>
          <w:lang w:val="sr-Cyrl-RS"/>
        </w:rPr>
      </w:pPr>
      <w:r>
        <w:rPr>
          <w:sz w:val="24"/>
          <w:lang w:val="sr-Cyrl-RS"/>
        </w:rPr>
        <w:t>Dana</w:t>
      </w:r>
      <w:r w:rsidR="002371ED" w:rsidRPr="00A54F50">
        <w:rPr>
          <w:sz w:val="24"/>
          <w:lang w:val="sr-Cyrl-RS"/>
        </w:rPr>
        <w:t xml:space="preserve"> 29. </w:t>
      </w:r>
      <w:r>
        <w:rPr>
          <w:sz w:val="24"/>
          <w:lang w:val="sr-Cyrl-RS"/>
        </w:rPr>
        <w:t>aprila</w:t>
      </w:r>
      <w:r w:rsidR="002371ED" w:rsidRPr="00A54F50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godine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predsednik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ustavna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pitanja</w:t>
      </w:r>
      <w:r w:rsidR="007120C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zakonodavstvo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uputio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2371ED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dodatni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zahtev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pravnu</w:t>
      </w:r>
      <w:r w:rsidR="008E24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ocenu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izmenama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dopunama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ZJBS</w:t>
      </w:r>
      <w:r w:rsidR="002371ED" w:rsidRPr="00A54F50">
        <w:rPr>
          <w:sz w:val="24"/>
          <w:lang w:val="sr-Cyrl-RS"/>
        </w:rPr>
        <w:t xml:space="preserve"> („</w:t>
      </w:r>
      <w:r>
        <w:rPr>
          <w:sz w:val="24"/>
          <w:lang w:val="sr-Cyrl-RS"/>
        </w:rPr>
        <w:t>ažurirani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2371ED" w:rsidRPr="00A54F50">
        <w:rPr>
          <w:sz w:val="24"/>
          <w:lang w:val="sr-Cyrl-RS"/>
        </w:rPr>
        <w:t>”).</w:t>
      </w:r>
      <w:r w:rsidR="00F16B8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osnovu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komentara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iznetih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2371ED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marta</w:t>
      </w:r>
      <w:r w:rsidR="002371ED" w:rsidRPr="00A54F50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godine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ažurirani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E24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nadležnom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skupštinskom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odboru</w:t>
      </w:r>
      <w:r w:rsidR="008E24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podneo</w:t>
      </w:r>
      <w:r w:rsidR="008E24D7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narodni</w:t>
      </w:r>
      <w:r w:rsidR="008E24D7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poslanik</w:t>
      </w:r>
      <w:r w:rsidR="008E24D7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Uglješa</w:t>
      </w:r>
      <w:r w:rsidR="008E24D7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Mrdić</w:t>
      </w:r>
      <w:r w:rsidR="002371ED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Sledstveno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ovo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ocenjuje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kojoj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meri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odgovara</w:t>
      </w:r>
      <w:r w:rsidR="00F16B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date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marta</w:t>
      </w:r>
      <w:r w:rsidR="002371ED" w:rsidRPr="00A54F50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godine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ponavlja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one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još</w:t>
      </w:r>
      <w:r w:rsidR="00F16B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uvek</w:t>
      </w:r>
      <w:r w:rsidR="00F16B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nisu</w:t>
      </w:r>
      <w:r w:rsidR="00F16B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ispunjene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nekoliko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novih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B0188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B0188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odnose</w:t>
      </w:r>
      <w:r w:rsidR="00B0188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B0188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izvršene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izmene</w:t>
      </w:r>
      <w:r w:rsidR="002371ED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Napominje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ažuriranja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odnose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</w:t>
      </w:r>
      <w:r w:rsidR="00B0188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B0188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promene</w:t>
      </w:r>
      <w:r w:rsidR="00B0188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vezane</w:t>
      </w:r>
      <w:r w:rsidR="00B0188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preporuke</w:t>
      </w:r>
      <w:r w:rsidR="00B0188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B0188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2371ED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marta</w:t>
      </w:r>
      <w:r w:rsidR="002371ED" w:rsidRPr="00A54F50">
        <w:rPr>
          <w:sz w:val="24"/>
          <w:lang w:val="sr-Cyrl-RS"/>
        </w:rPr>
        <w:t xml:space="preserve"> 2025.</w:t>
      </w:r>
      <w:r w:rsidR="00B0188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godine</w:t>
      </w:r>
      <w:r w:rsidR="00B01881">
        <w:rPr>
          <w:sz w:val="24"/>
          <w:lang w:val="sr-Cyrl-RS"/>
        </w:rPr>
        <w:t>.</w:t>
      </w:r>
    </w:p>
    <w:p w14:paraId="4B7938A3" w14:textId="77777777" w:rsidR="00843802" w:rsidRPr="00A54F50" w:rsidRDefault="00843802">
      <w:pPr>
        <w:pStyle w:val="BodyText"/>
        <w:ind w:left="0"/>
        <w:rPr>
          <w:sz w:val="20"/>
          <w:lang w:val="sr-Cyrl-RS"/>
        </w:rPr>
      </w:pPr>
    </w:p>
    <w:p w14:paraId="697E268B" w14:textId="65A1BE9D" w:rsidR="002371ED" w:rsidRPr="00A54F50" w:rsidRDefault="006E6361" w:rsidP="002371ED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5"/>
        <w:rPr>
          <w:sz w:val="24"/>
          <w:lang w:val="sr-Cyrl-RS"/>
        </w:rPr>
      </w:pPr>
      <w:bookmarkStart w:id="3" w:name="_bookmark1"/>
      <w:bookmarkEnd w:id="3"/>
      <w:r>
        <w:rPr>
          <w:sz w:val="24"/>
          <w:lang w:val="sr-Cyrl-RS"/>
        </w:rPr>
        <w:lastRenderedPageBreak/>
        <w:t>Ovo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zasnovano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nezvaničnom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prevodu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engleski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jezik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dostavila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priložen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ovom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dokumentu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Aneks</w:t>
      </w:r>
      <w:r w:rsidR="002371ED" w:rsidRPr="00A54F50">
        <w:rPr>
          <w:sz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Moguća</w:t>
      </w:r>
      <w:r w:rsidR="002356A7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356A7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pojava</w:t>
      </w:r>
      <w:r w:rsidR="002356A7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zabluda</w:t>
      </w:r>
      <w:r w:rsidR="002356A7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proisteklih</w:t>
      </w:r>
      <w:r w:rsidR="002356A7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2356A7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prevoda</w:t>
      </w:r>
      <w:r w:rsidR="002356A7" w:rsidRPr="00754A4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2356A7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slučaju</w:t>
      </w:r>
      <w:r w:rsidR="002356A7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prevođenja</w:t>
      </w:r>
      <w:r w:rsidR="002356A7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="002356A7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356A7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</w:t>
      </w:r>
      <w:r w:rsidR="002356A7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jezik</w:t>
      </w:r>
      <w:r w:rsidR="002356A7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merodavna</w:t>
      </w:r>
      <w:r w:rsidR="002356A7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2356A7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2356A7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verzija</w:t>
      </w:r>
      <w:r w:rsidR="002356A7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356A7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engleskom</w:t>
      </w:r>
      <w:r w:rsidR="002356A7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jeziku</w:t>
      </w:r>
      <w:r w:rsidR="002371ED" w:rsidRPr="00A54F50">
        <w:rPr>
          <w:sz w:val="24"/>
          <w:lang w:val="sr-Cyrl-RS"/>
        </w:rPr>
        <w:t>.</w:t>
      </w:r>
    </w:p>
    <w:p w14:paraId="3693F1B1" w14:textId="599AFAFD" w:rsidR="00843802" w:rsidRDefault="006E6361" w:rsidP="002371ED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5"/>
        <w:rPr>
          <w:sz w:val="24"/>
          <w:lang w:val="sr-Cyrl-RS"/>
        </w:rPr>
      </w:pPr>
      <w:r>
        <w:rPr>
          <w:sz w:val="24"/>
          <w:lang w:val="sr-Cyrl-RS"/>
        </w:rPr>
        <w:t>ODIHR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izvršio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ocenu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okviru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svog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mandata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623B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pruža</w:t>
      </w:r>
      <w:r w:rsidR="008623B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pomoć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državama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učesnicama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OEBS</w:t>
      </w:r>
      <w:r w:rsidR="002371ED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sprovođenju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njihovih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obaveza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8623B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okviru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OEBS</w:t>
      </w:r>
      <w:r w:rsidR="002371ED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posebno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izbornim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procesom</w:t>
      </w:r>
      <w:r w:rsidR="002371ED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ODIHR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pozdravlja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spremnost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srpskih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vlasti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slede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izborne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date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ovom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dokumentu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spreman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pruži</w:t>
      </w:r>
      <w:r w:rsidR="008623B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pomoć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vlastima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daljem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unapređivanju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izbornog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procesa</w:t>
      </w:r>
      <w:r w:rsidR="00CE5810" w:rsidRPr="00A54F50">
        <w:rPr>
          <w:sz w:val="24"/>
          <w:lang w:val="sr-Cyrl-RS"/>
        </w:rPr>
        <w:t>.</w:t>
      </w:r>
      <w:r w:rsidR="000D1065">
        <w:rPr>
          <w:rStyle w:val="FootnoteReference"/>
          <w:sz w:val="24"/>
          <w:lang w:val="sr-Cyrl-RS"/>
        </w:rPr>
        <w:footnoteReference w:id="3"/>
      </w:r>
      <w:r w:rsidR="000D1065" w:rsidRPr="00A54F50">
        <w:rPr>
          <w:sz w:val="24"/>
          <w:lang w:val="sr-Cyrl-RS"/>
        </w:rPr>
        <w:t xml:space="preserve"> </w:t>
      </w:r>
    </w:p>
    <w:p w14:paraId="57DBE011" w14:textId="184BF07F" w:rsidR="005940A4" w:rsidRDefault="005940A4" w:rsidP="005940A4">
      <w:pPr>
        <w:pStyle w:val="ListParagraph"/>
        <w:spacing w:line="311" w:lineRule="exact"/>
        <w:ind w:firstLine="0"/>
        <w:rPr>
          <w:b/>
          <w:color w:val="005595"/>
          <w:spacing w:val="-5"/>
          <w:sz w:val="28"/>
        </w:rPr>
      </w:pPr>
    </w:p>
    <w:p w14:paraId="3455F62E" w14:textId="77777777" w:rsidR="005940A4" w:rsidRDefault="005940A4" w:rsidP="005940A4">
      <w:pPr>
        <w:pStyle w:val="ListParagraph"/>
        <w:spacing w:line="311" w:lineRule="exact"/>
        <w:ind w:firstLine="0"/>
        <w:rPr>
          <w:b/>
          <w:color w:val="005595"/>
          <w:spacing w:val="-5"/>
          <w:sz w:val="28"/>
        </w:rPr>
      </w:pPr>
    </w:p>
    <w:p w14:paraId="717871FF" w14:textId="77777777" w:rsidR="005940A4" w:rsidRDefault="005940A4" w:rsidP="005940A4">
      <w:pPr>
        <w:pStyle w:val="ListParagraph"/>
        <w:spacing w:line="311" w:lineRule="exact"/>
        <w:ind w:firstLine="0"/>
        <w:rPr>
          <w:b/>
          <w:color w:val="005595"/>
          <w:spacing w:val="-5"/>
          <w:sz w:val="28"/>
        </w:rPr>
      </w:pPr>
    </w:p>
    <w:p w14:paraId="35DF6A92" w14:textId="55BBAF42" w:rsidR="005940A4" w:rsidRPr="005940A4" w:rsidRDefault="005940A4" w:rsidP="005940A4">
      <w:pPr>
        <w:spacing w:line="311" w:lineRule="exact"/>
        <w:rPr>
          <w:b/>
          <w:sz w:val="28"/>
        </w:rPr>
      </w:pPr>
      <w:r>
        <w:rPr>
          <w:b/>
          <w:color w:val="005595"/>
          <w:spacing w:val="-5"/>
          <w:sz w:val="28"/>
          <w:lang w:val="sr-Cyrl-RS"/>
        </w:rPr>
        <w:t xml:space="preserve">           </w:t>
      </w:r>
      <w:r w:rsidRPr="005940A4">
        <w:rPr>
          <w:b/>
          <w:color w:val="005595"/>
          <w:spacing w:val="-5"/>
          <w:sz w:val="28"/>
        </w:rPr>
        <w:t>II.</w:t>
      </w:r>
      <w:r w:rsidRPr="005940A4">
        <w:rPr>
          <w:b/>
          <w:color w:val="005595"/>
          <w:spacing w:val="-5"/>
          <w:sz w:val="28"/>
          <w:lang w:val="sr-Cyrl-RS"/>
        </w:rPr>
        <w:t xml:space="preserve">  </w:t>
      </w:r>
      <w:r>
        <w:rPr>
          <w:b/>
          <w:color w:val="005595"/>
          <w:spacing w:val="-5"/>
          <w:sz w:val="28"/>
          <w:lang w:val="sr-Cyrl-RS"/>
        </w:rPr>
        <w:t xml:space="preserve">        </w:t>
      </w:r>
      <w:r w:rsidRPr="005940A4">
        <w:rPr>
          <w:b/>
          <w:color w:val="005595"/>
          <w:sz w:val="28"/>
        </w:rPr>
        <w:t>O</w:t>
      </w:r>
      <w:r w:rsidR="006E6361">
        <w:rPr>
          <w:b/>
          <w:color w:val="005595"/>
          <w:sz w:val="28"/>
          <w:lang w:val="sr-Cyrl-RS"/>
        </w:rPr>
        <w:t>PSEG</w:t>
      </w:r>
      <w:r w:rsidRPr="005940A4">
        <w:rPr>
          <w:b/>
          <w:color w:val="005595"/>
          <w:sz w:val="28"/>
          <w:lang w:val="sr-Cyrl-RS"/>
        </w:rPr>
        <w:t xml:space="preserve"> </w:t>
      </w:r>
      <w:r w:rsidR="006E6361">
        <w:rPr>
          <w:b/>
          <w:color w:val="005595"/>
          <w:sz w:val="28"/>
          <w:lang w:val="sr-Cyrl-RS"/>
        </w:rPr>
        <w:t>MIŠLjENjA</w:t>
      </w:r>
    </w:p>
    <w:p w14:paraId="00F15B83" w14:textId="65BD7F7B" w:rsidR="00843802" w:rsidRDefault="005940A4" w:rsidP="005940A4">
      <w:pPr>
        <w:pStyle w:val="BodyText"/>
        <w:spacing w:before="40"/>
        <w:ind w:left="0"/>
        <w:rPr>
          <w:lang w:val="sr-Cyrl-R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1D222EF6" wp14:editId="1C7EE69A">
                <wp:simplePos x="0" y="0"/>
                <wp:positionH relativeFrom="column">
                  <wp:posOffset>430213</wp:posOffset>
                </wp:positionH>
                <wp:positionV relativeFrom="paragraph">
                  <wp:posOffset>488818</wp:posOffset>
                </wp:positionV>
                <wp:extent cx="6158230" cy="12678"/>
                <wp:effectExtent l="0" t="0" r="0" b="0"/>
                <wp:wrapTopAndBottom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126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2700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158484" y="12179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250C0D" id="Graphic 37" o:spid="_x0000_s1026" style="position:absolute;margin-left:33.9pt;margin-top:38.5pt;width:484.9pt;height:1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588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" path="m6158484,l,,,12179r6158484,l6158484,xe" fillcolor="#4f81bc" stroked="f">
                <v:path arrowok="t"/>
                <w10:wrap type="topAndBottom"/>
              </v:shape>
            </w:pict>
          </mc:Fallback>
        </mc:AlternateContent>
      </w:r>
    </w:p>
    <w:p w14:paraId="31D072CB" w14:textId="77777777" w:rsidR="005940A4" w:rsidRPr="00A54F50" w:rsidRDefault="005940A4" w:rsidP="005940A4">
      <w:pPr>
        <w:pStyle w:val="BodyText"/>
        <w:spacing w:before="40"/>
        <w:ind w:left="0"/>
        <w:rPr>
          <w:lang w:val="sr-Cyrl-RS"/>
        </w:rPr>
      </w:pPr>
    </w:p>
    <w:p w14:paraId="7428C6B9" w14:textId="77777777" w:rsidR="005940A4" w:rsidRDefault="005940A4" w:rsidP="005940A4">
      <w:pPr>
        <w:pStyle w:val="ListParagraph"/>
        <w:tabs>
          <w:tab w:val="left" w:pos="1427"/>
        </w:tabs>
        <w:ind w:right="705" w:firstLine="0"/>
        <w:rPr>
          <w:sz w:val="24"/>
          <w:lang w:val="sr-Cyrl-RS"/>
        </w:rPr>
      </w:pPr>
    </w:p>
    <w:p w14:paraId="46504E43" w14:textId="0FA038C1" w:rsidR="00843802" w:rsidRPr="00A54F50" w:rsidRDefault="006E6361">
      <w:pPr>
        <w:pStyle w:val="ListParagraph"/>
        <w:numPr>
          <w:ilvl w:val="0"/>
          <w:numId w:val="9"/>
        </w:numPr>
        <w:tabs>
          <w:tab w:val="left" w:pos="1427"/>
        </w:tabs>
        <w:ind w:right="705"/>
        <w:rPr>
          <w:sz w:val="24"/>
          <w:lang w:val="sr-Cyrl-RS"/>
        </w:rPr>
      </w:pPr>
      <w:r>
        <w:rPr>
          <w:sz w:val="24"/>
          <w:lang w:val="sr-Cyrl-RS"/>
        </w:rPr>
        <w:t>Mišljenje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predstavlja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potpunu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sveobuhvatnu</w:t>
      </w:r>
      <w:r w:rsidR="005940A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analizu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celokupnog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pravnog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institucionalnog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okvira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reguliše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Srbiji</w:t>
      </w:r>
      <w:r w:rsidR="002371ED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Usmereno</w:t>
      </w:r>
      <w:r w:rsidR="005940A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usaglašenost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međunarodnim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standardima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dobrom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praksom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izbornim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pitanjima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5940A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njemu</w:t>
      </w:r>
      <w:r w:rsidR="005940A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5940A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ističu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predlozi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kojima</w:t>
      </w:r>
      <w:r w:rsidR="005940A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mogle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5940A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sprovedu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prethodne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2371ED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5940A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5940A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odnose</w:t>
      </w:r>
      <w:r w:rsidR="005940A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izbore</w:t>
      </w:r>
      <w:r w:rsidR="002371ED" w:rsidRPr="00A54F50">
        <w:rPr>
          <w:sz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Stoga</w:t>
      </w:r>
      <w:r w:rsidR="005940A4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ovo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čitati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preporukama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ODIHR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dao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tokom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prethodnih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posmatranja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5940A4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5940A4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mora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naglasiti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nerešene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ODIHR</w:t>
      </w:r>
      <w:r w:rsidR="005940A4" w:rsidRPr="00754A4D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važe</w:t>
      </w:r>
      <w:r w:rsidR="002371ED" w:rsidRPr="00A54F50">
        <w:rPr>
          <w:sz w:val="24"/>
          <w:lang w:val="sr-Cyrl-RS"/>
        </w:rPr>
        <w:t>.</w:t>
      </w:r>
      <w:r w:rsidR="003A4369">
        <w:rPr>
          <w:rStyle w:val="FootnoteReference"/>
          <w:sz w:val="24"/>
          <w:lang w:val="sr-Cyrl-RS"/>
        </w:rPr>
        <w:footnoteReference w:id="4"/>
      </w:r>
      <w:r w:rsidR="003A4369" w:rsidRPr="00A54F50">
        <w:rPr>
          <w:sz w:val="24"/>
          <w:lang w:val="sr-Cyrl-RS"/>
        </w:rPr>
        <w:t xml:space="preserve"> </w:t>
      </w:r>
    </w:p>
    <w:p w14:paraId="25D4D95B" w14:textId="4072601C" w:rsidR="002371ED" w:rsidRPr="00A54F50" w:rsidRDefault="006E6361" w:rsidP="002371ED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4"/>
        <w:rPr>
          <w:sz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iznose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ključna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daju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naznake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izazivaju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zabrinutost</w:t>
      </w:r>
      <w:r w:rsidR="005940A4" w:rsidRPr="00754A4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interesu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konciznosti</w:t>
      </w:r>
      <w:r w:rsidR="005940A4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ono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koncentrisano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zahtevaju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poboljšanja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nego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aspekte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5940A4" w:rsidRPr="00754A4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Pravna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analiza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sledi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zasniva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međunarodnim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regionalnim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standardima</w:t>
      </w:r>
      <w:r w:rsidR="005940A4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normama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preporukama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vladavinu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5940A4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relevantnim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obavezama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OEBS</w:t>
      </w:r>
      <w:r w:rsidR="005940A4" w:rsidRPr="00754A4D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ljudske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dimenzije</w:t>
      </w:r>
      <w:r w:rsidR="005940A4" w:rsidRPr="00754A4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takođe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ističu</w:t>
      </w:r>
      <w:r w:rsidR="005940A4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primereno</w:t>
      </w:r>
      <w:r w:rsidR="005940A4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dobre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prakse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drugih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članica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OEBS</w:t>
      </w:r>
      <w:r w:rsidR="005940A4" w:rsidRPr="00754A4D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ovoj</w:t>
      </w:r>
      <w:r w:rsidR="005940A4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2371ED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Osim</w:t>
      </w:r>
      <w:r w:rsidR="005940A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2371ED" w:rsidRPr="00A54F50">
        <w:rPr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Konvencijom</w:t>
      </w:r>
      <w:r w:rsidR="002371ED" w:rsidRPr="003A4369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</w:t>
      </w:r>
      <w:r w:rsidR="002371ED" w:rsidRPr="003A4369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eliminaciji</w:t>
      </w:r>
      <w:r w:rsidR="002371ED" w:rsidRPr="003A4369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svih</w:t>
      </w:r>
      <w:r w:rsidR="002371ED" w:rsidRPr="003A4369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oblika</w:t>
      </w:r>
      <w:r w:rsidR="002371ED" w:rsidRPr="003A4369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diskriminacije</w:t>
      </w:r>
      <w:r w:rsidR="002371ED" w:rsidRPr="003A4369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žena</w:t>
      </w:r>
      <w:r w:rsidR="003A4369">
        <w:rPr>
          <w:rStyle w:val="FootnoteReference"/>
          <w:sz w:val="24"/>
          <w:lang w:val="sr-Cyrl-RS"/>
        </w:rPr>
        <w:footnoteReference w:id="5"/>
      </w:r>
      <w:r w:rsidR="00CE5810" w:rsidRPr="00A54F50">
        <w:rPr>
          <w:spacing w:val="-8"/>
          <w:sz w:val="24"/>
          <w:lang w:val="sr-Cyrl-RS"/>
        </w:rPr>
        <w:t xml:space="preserve"> </w:t>
      </w:r>
      <w:r w:rsidR="00CE5810" w:rsidRPr="00A54F50">
        <w:rPr>
          <w:sz w:val="24"/>
          <w:lang w:val="sr-Cyrl-RS"/>
        </w:rPr>
        <w:t>(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daljem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tekstu</w:t>
      </w:r>
      <w:r w:rsidR="002371ED" w:rsidRPr="00A54F50">
        <w:rPr>
          <w:sz w:val="24"/>
          <w:lang w:val="sr-Cyrl-RS"/>
        </w:rPr>
        <w:t xml:space="preserve"> „</w:t>
      </w:r>
      <w:r w:rsidR="007D03A5" w:rsidRPr="00754A4D">
        <w:rPr>
          <w:sz w:val="24"/>
          <w:szCs w:val="24"/>
          <w:lang w:val="sr-Latn-RS"/>
        </w:rPr>
        <w:t>CEDAW</w:t>
      </w:r>
      <w:r w:rsidR="002371ED" w:rsidRPr="00A54F50">
        <w:rPr>
          <w:sz w:val="24"/>
          <w:lang w:val="sr-Cyrl-RS"/>
        </w:rPr>
        <w:t xml:space="preserve">“)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OEBS</w:t>
      </w:r>
      <w:r w:rsidR="007D03A5">
        <w:rPr>
          <w:sz w:val="24"/>
          <w:lang w:val="sr-Cyrl-RS"/>
        </w:rPr>
        <w:t>-</w:t>
      </w:r>
      <w:r>
        <w:rPr>
          <w:sz w:val="24"/>
          <w:lang w:val="sr-Cyrl-RS"/>
        </w:rPr>
        <w:t>ovim</w:t>
      </w:r>
      <w:r w:rsidR="007D03A5">
        <w:rPr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Akcionim</w:t>
      </w:r>
      <w:r w:rsidR="002371ED" w:rsidRPr="003A4369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planom</w:t>
      </w:r>
      <w:r w:rsidR="002371ED" w:rsidRPr="003A4369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za</w:t>
      </w:r>
      <w:r w:rsidR="002371ED" w:rsidRPr="003A4369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unapređenje</w:t>
      </w:r>
      <w:r w:rsidR="002371ED" w:rsidRPr="003A4369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rodne</w:t>
      </w:r>
      <w:r w:rsidR="002371ED" w:rsidRPr="003A4369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ravnopravnosti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2371ED" w:rsidRPr="00A54F50">
        <w:rPr>
          <w:sz w:val="24"/>
          <w:lang w:val="sr-Cyrl-RS"/>
        </w:rPr>
        <w:t xml:space="preserve"> 2004.</w:t>
      </w:r>
      <w:r w:rsidR="003A4369">
        <w:rPr>
          <w:rStyle w:val="FootnoteReference"/>
          <w:sz w:val="24"/>
          <w:lang w:val="sr-Cyrl-RS"/>
        </w:rPr>
        <w:footnoteReference w:id="6"/>
      </w:r>
      <w:r w:rsidR="00CE5810" w:rsidRPr="00A54F50">
        <w:rPr>
          <w:sz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obavezama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urodnjavanja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OEBS</w:t>
      </w:r>
      <w:r w:rsidR="007D03A5" w:rsidRPr="00754A4D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ovih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</w:t>
      </w:r>
      <w:r w:rsidR="007D03A5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programa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projekata</w:t>
      </w:r>
      <w:r w:rsidR="007D03A5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ovo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integriše</w:t>
      </w:r>
      <w:r w:rsidR="007D03A5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primereno</w:t>
      </w:r>
      <w:r w:rsidR="007D03A5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rodnu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perspektivu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perspektivu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različitosti</w:t>
      </w:r>
      <w:r w:rsidR="002371ED" w:rsidRPr="00A54F50">
        <w:rPr>
          <w:sz w:val="24"/>
          <w:lang w:val="sr-Cyrl-RS"/>
        </w:rPr>
        <w:t>.</w:t>
      </w:r>
    </w:p>
    <w:p w14:paraId="71A33F03" w14:textId="612F004B" w:rsidR="002371ED" w:rsidRPr="00A54F50" w:rsidRDefault="006E6361" w:rsidP="002371ED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4"/>
        <w:rPr>
          <w:sz w:val="24"/>
          <w:lang w:val="sr-Cyrl-RS"/>
        </w:rPr>
      </w:pPr>
      <w:r>
        <w:rPr>
          <w:sz w:val="24"/>
          <w:lang w:val="sr-Cyrl-RS"/>
        </w:rPr>
        <w:t>Ovo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zasnovano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nezvaničnom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prevodu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engleski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jezik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dostavila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7D03A5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priložen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dokumentu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Aneks</w:t>
      </w:r>
      <w:r w:rsidR="007D03A5" w:rsidRPr="00754A4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Moguća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pojava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zabluda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proisteklih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prevoda</w:t>
      </w:r>
      <w:r w:rsidR="007D03A5" w:rsidRPr="00754A4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slučaju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prevođenja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jezik</w:t>
      </w:r>
      <w:r w:rsidR="007D03A5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merodavna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verzija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engleskom</w:t>
      </w:r>
      <w:r w:rsidR="007D03A5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jeziku</w:t>
      </w:r>
      <w:r w:rsidR="002371ED" w:rsidRPr="00A54F50">
        <w:rPr>
          <w:sz w:val="24"/>
          <w:lang w:val="sr-Cyrl-RS"/>
        </w:rPr>
        <w:t>.</w:t>
      </w:r>
    </w:p>
    <w:p w14:paraId="0BE81925" w14:textId="7ED96DB3" w:rsidR="00843802" w:rsidRPr="00A54F50" w:rsidRDefault="006E6361" w:rsidP="002371ED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4"/>
        <w:rPr>
          <w:sz w:val="24"/>
          <w:lang w:val="sr-Cyrl-RS"/>
        </w:rPr>
      </w:pPr>
      <w:r>
        <w:rPr>
          <w:sz w:val="24"/>
          <w:lang w:val="sr-Cyrl-RS"/>
        </w:rPr>
        <w:t>Imajući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vidu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gore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navedeno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ODIHR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želi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naglasi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sprečava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budućnosti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formuliše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dodatne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pismene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ili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usmene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ili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komentare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razmatranim</w:t>
      </w:r>
      <w:r w:rsidR="007D03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pitanjima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Srbiji</w:t>
      </w:r>
      <w:r w:rsidR="002371ED" w:rsidRPr="00A54F50">
        <w:rPr>
          <w:sz w:val="24"/>
          <w:lang w:val="sr-Cyrl-RS"/>
        </w:rPr>
        <w:t>.</w:t>
      </w:r>
    </w:p>
    <w:p w14:paraId="62195078" w14:textId="77777777" w:rsidR="00843802" w:rsidRPr="00A54F50" w:rsidRDefault="00843802">
      <w:pPr>
        <w:pStyle w:val="BodyText"/>
        <w:ind w:left="0"/>
        <w:rPr>
          <w:sz w:val="20"/>
          <w:lang w:val="sr-Cyrl-RS"/>
        </w:rPr>
      </w:pPr>
    </w:p>
    <w:p w14:paraId="0030F5FF" w14:textId="77777777" w:rsidR="00843802" w:rsidRPr="00A54F50" w:rsidRDefault="00843802">
      <w:pPr>
        <w:pStyle w:val="BodyText"/>
        <w:ind w:left="0"/>
        <w:rPr>
          <w:sz w:val="20"/>
          <w:lang w:val="sr-Cyrl-RS"/>
        </w:rPr>
      </w:pPr>
    </w:p>
    <w:p w14:paraId="6BDDA068" w14:textId="77777777" w:rsidR="003A4369" w:rsidRDefault="003A4369">
      <w:pPr>
        <w:pStyle w:val="BodyText"/>
        <w:ind w:left="0"/>
        <w:rPr>
          <w:b/>
          <w:color w:val="005595"/>
          <w:spacing w:val="-2"/>
          <w:sz w:val="28"/>
          <w:lang w:val="sr-Cyrl-RS"/>
        </w:rPr>
      </w:pPr>
      <w:r>
        <w:rPr>
          <w:b/>
          <w:color w:val="005595"/>
          <w:spacing w:val="-2"/>
          <w:sz w:val="28"/>
          <w:lang w:val="sr-Cyrl-RS"/>
        </w:rPr>
        <w:t xml:space="preserve">          </w:t>
      </w:r>
    </w:p>
    <w:p w14:paraId="262BB54D" w14:textId="77777777" w:rsidR="003A4369" w:rsidRDefault="003A4369">
      <w:pPr>
        <w:pStyle w:val="BodyText"/>
        <w:ind w:left="0"/>
        <w:rPr>
          <w:b/>
          <w:color w:val="005595"/>
          <w:spacing w:val="-2"/>
          <w:sz w:val="28"/>
          <w:lang w:val="sr-Cyrl-RS"/>
        </w:rPr>
      </w:pPr>
      <w:r>
        <w:rPr>
          <w:b/>
          <w:color w:val="005595"/>
          <w:spacing w:val="-2"/>
          <w:sz w:val="28"/>
          <w:lang w:val="sr-Cyrl-RS"/>
        </w:rPr>
        <w:t xml:space="preserve">          </w:t>
      </w:r>
    </w:p>
    <w:p w14:paraId="7159E86A" w14:textId="7E228062" w:rsidR="00843802" w:rsidRPr="00A54F50" w:rsidRDefault="003A4369">
      <w:pPr>
        <w:pStyle w:val="BodyText"/>
        <w:ind w:left="0"/>
        <w:rPr>
          <w:sz w:val="20"/>
          <w:lang w:val="sr-Cyrl-RS"/>
        </w:rPr>
      </w:pPr>
      <w:r>
        <w:rPr>
          <w:b/>
          <w:color w:val="005595"/>
          <w:spacing w:val="-2"/>
          <w:sz w:val="28"/>
          <w:lang w:val="sr-Cyrl-RS"/>
        </w:rPr>
        <w:t xml:space="preserve">         </w:t>
      </w:r>
      <w:r>
        <w:rPr>
          <w:b/>
          <w:color w:val="005595"/>
          <w:spacing w:val="-2"/>
          <w:sz w:val="28"/>
          <w:lang w:val="sr-Latn-RS"/>
        </w:rPr>
        <w:t xml:space="preserve">III.          </w:t>
      </w:r>
      <w:r w:rsidR="006E6361">
        <w:rPr>
          <w:b/>
          <w:color w:val="005595"/>
          <w:spacing w:val="-2"/>
          <w:sz w:val="28"/>
          <w:lang w:val="sr-Cyrl-RS"/>
        </w:rPr>
        <w:t>PRAVNA</w:t>
      </w:r>
      <w:r>
        <w:rPr>
          <w:b/>
          <w:color w:val="005595"/>
          <w:spacing w:val="-2"/>
          <w:sz w:val="28"/>
          <w:lang w:val="sr-Cyrl-RS"/>
        </w:rPr>
        <w:t xml:space="preserve"> </w:t>
      </w:r>
      <w:r w:rsidR="006E6361">
        <w:rPr>
          <w:b/>
          <w:color w:val="005595"/>
          <w:spacing w:val="-2"/>
          <w:sz w:val="28"/>
          <w:lang w:val="sr-Cyrl-RS"/>
        </w:rPr>
        <w:t>ANALIZA</w:t>
      </w:r>
      <w:r>
        <w:rPr>
          <w:b/>
          <w:color w:val="005595"/>
          <w:spacing w:val="-2"/>
          <w:sz w:val="28"/>
          <w:lang w:val="sr-Cyrl-RS"/>
        </w:rPr>
        <w:t xml:space="preserve"> </w:t>
      </w:r>
      <w:r w:rsidR="006E6361">
        <w:rPr>
          <w:b/>
          <w:color w:val="005595"/>
          <w:spacing w:val="-2"/>
          <w:sz w:val="28"/>
          <w:lang w:val="sr-Cyrl-RS"/>
        </w:rPr>
        <w:t>I</w:t>
      </w:r>
      <w:r>
        <w:rPr>
          <w:b/>
          <w:color w:val="005595"/>
          <w:spacing w:val="-2"/>
          <w:sz w:val="28"/>
          <w:lang w:val="sr-Cyrl-RS"/>
        </w:rPr>
        <w:t xml:space="preserve"> </w:t>
      </w:r>
      <w:r w:rsidR="006E6361">
        <w:rPr>
          <w:b/>
          <w:color w:val="005595"/>
          <w:spacing w:val="-2"/>
          <w:sz w:val="28"/>
          <w:lang w:val="sr-Cyrl-RS"/>
        </w:rPr>
        <w:t>PREPORUKE</w:t>
      </w:r>
    </w:p>
    <w:p w14:paraId="4622B07B" w14:textId="77777777" w:rsidR="00843802" w:rsidRPr="00A54F50" w:rsidRDefault="00843802">
      <w:pPr>
        <w:pStyle w:val="BodyText"/>
        <w:spacing w:before="8"/>
        <w:ind w:left="0"/>
        <w:rPr>
          <w:sz w:val="16"/>
          <w:lang w:val="sr-Cyrl-RS"/>
        </w:rPr>
      </w:pPr>
      <w:bookmarkStart w:id="4" w:name="_bookmark2"/>
      <w:bookmarkStart w:id="5" w:name="_bookmark5"/>
      <w:bookmarkEnd w:id="4"/>
      <w:bookmarkEnd w:id="5"/>
    </w:p>
    <w:p w14:paraId="3BD936CD" w14:textId="781C18D3" w:rsidR="00843802" w:rsidRPr="00A54F50" w:rsidRDefault="003A4369">
      <w:pPr>
        <w:pStyle w:val="BodyText"/>
        <w:ind w:left="547"/>
        <w:rPr>
          <w:sz w:val="20"/>
          <w:lang w:val="sr-Cyrl-RS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8F14A31" wp14:editId="786BE763">
                <wp:extent cx="6158865" cy="12700"/>
                <wp:effectExtent l="0" t="0" r="0" b="0"/>
                <wp:docPr id="44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2700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158484" y="12179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9553E9" id="Graphic 44" o:spid="_x0000_s1026" style="width:484.95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1588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" path="m6158484,l,,,12179r6158484,l6158484,xe" fillcolor="#4f81bc" stroked="f">
                <v:path arrowok="t"/>
                <w10:anchorlock/>
              </v:shape>
            </w:pict>
          </mc:Fallback>
        </mc:AlternateContent>
      </w:r>
    </w:p>
    <w:p w14:paraId="17182154" w14:textId="77777777" w:rsidR="00843802" w:rsidRPr="00A54F50" w:rsidRDefault="00843802">
      <w:pPr>
        <w:pStyle w:val="BodyText"/>
        <w:spacing w:before="164"/>
        <w:ind w:left="0"/>
        <w:rPr>
          <w:sz w:val="19"/>
          <w:lang w:val="sr-Cyrl-RS"/>
        </w:rPr>
      </w:pPr>
    </w:p>
    <w:p w14:paraId="13C3589A" w14:textId="1906CBDE" w:rsidR="00843802" w:rsidRPr="00A54F50" w:rsidRDefault="006E6361">
      <w:pPr>
        <w:pStyle w:val="Heading1"/>
        <w:numPr>
          <w:ilvl w:val="0"/>
          <w:numId w:val="8"/>
        </w:numPr>
        <w:tabs>
          <w:tab w:val="left" w:pos="1427"/>
        </w:tabs>
        <w:spacing w:before="1"/>
        <w:ind w:right="708"/>
        <w:rPr>
          <w:b w:val="0"/>
          <w:color w:val="005595"/>
          <w:lang w:val="sr-Cyrl-RS"/>
        </w:rPr>
      </w:pPr>
      <w:r>
        <w:rPr>
          <w:smallCaps/>
          <w:color w:val="005595"/>
          <w:lang w:val="sr-Cyrl-RS"/>
        </w:rPr>
        <w:t>PREDLOG</w:t>
      </w:r>
      <w:r w:rsidR="002371ED" w:rsidRPr="00A54F50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IZMENA</w:t>
      </w:r>
      <w:r w:rsidR="002371ED" w:rsidRPr="00A54F50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POGLAVLjA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7D03A5">
        <w:rPr>
          <w:color w:val="005595"/>
          <w:lang w:val="sr-Latn-RS"/>
        </w:rPr>
        <w:t>II</w:t>
      </w:r>
      <w:r w:rsidR="007D03A5">
        <w:rPr>
          <w:color w:val="005595"/>
          <w:lang w:val="sr-Cyrl-RS"/>
        </w:rPr>
        <w:t>:</w:t>
      </w:r>
      <w:r w:rsidR="002371ED" w:rsidRPr="00A54F50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POSTUPAK</w:t>
      </w:r>
      <w:r w:rsidR="002371ED" w:rsidRPr="00A54F50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VOĐENjA</w:t>
      </w:r>
      <w:r w:rsidR="002371ED" w:rsidRPr="00A54F50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BIRAČKOG</w:t>
      </w:r>
      <w:r w:rsidR="002371ED" w:rsidRPr="00A54F50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SPISKA</w:t>
      </w:r>
      <w:r w:rsidR="002371ED" w:rsidRPr="00A54F50">
        <w:rPr>
          <w:smallCaps/>
          <w:color w:val="005595"/>
          <w:lang w:val="sr-Cyrl-RS"/>
        </w:rPr>
        <w:t xml:space="preserve">, </w:t>
      </w:r>
      <w:r>
        <w:rPr>
          <w:smallCaps/>
          <w:color w:val="005595"/>
          <w:lang w:val="sr-Cyrl-RS"/>
        </w:rPr>
        <w:t>ODELjAK</w:t>
      </w:r>
      <w:r w:rsidR="002371ED" w:rsidRPr="00A54F50">
        <w:rPr>
          <w:smallCaps/>
          <w:color w:val="005595"/>
          <w:lang w:val="sr-Cyrl-RS"/>
        </w:rPr>
        <w:t xml:space="preserve"> 4</w:t>
      </w:r>
      <w:r w:rsidR="007D03A5">
        <w:rPr>
          <w:smallCaps/>
          <w:color w:val="005595"/>
          <w:lang w:val="sr-Cyrl-RS"/>
        </w:rPr>
        <w:t>:</w:t>
      </w:r>
      <w:r w:rsidR="002371ED" w:rsidRPr="00A54F50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OBJAVLjIVANjE</w:t>
      </w:r>
      <w:r w:rsidR="002371ED" w:rsidRPr="00A54F50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DELOVA</w:t>
      </w:r>
      <w:r w:rsidR="002371ED" w:rsidRPr="00A54F50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BIRAČKOG</w:t>
      </w:r>
      <w:r w:rsidR="002371ED" w:rsidRPr="00A54F50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SPISKA</w:t>
      </w:r>
      <w:r w:rsidR="002371ED" w:rsidRPr="00A54F50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I</w:t>
      </w:r>
      <w:r w:rsidR="002371ED" w:rsidRPr="00A54F50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ZAKLjUČENjE</w:t>
      </w:r>
      <w:r w:rsidR="002371ED" w:rsidRPr="00A54F50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BIRAČKOG</w:t>
      </w:r>
      <w:r w:rsidR="002371ED" w:rsidRPr="00A54F50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SPISKA</w:t>
      </w:r>
    </w:p>
    <w:p w14:paraId="482AD18E" w14:textId="77777777" w:rsidR="00843802" w:rsidRPr="00A54F50" w:rsidRDefault="00843802">
      <w:pPr>
        <w:pStyle w:val="BodyText"/>
        <w:spacing w:before="21"/>
        <w:ind w:left="0"/>
        <w:rPr>
          <w:b/>
          <w:sz w:val="19"/>
          <w:lang w:val="sr-Cyrl-RS"/>
        </w:rPr>
      </w:pPr>
    </w:p>
    <w:p w14:paraId="145BA902" w14:textId="47647A31" w:rsidR="007D03A5" w:rsidRPr="007D03A5" w:rsidRDefault="006E6361" w:rsidP="007D03A5">
      <w:pPr>
        <w:pStyle w:val="ListParagraph"/>
        <w:numPr>
          <w:ilvl w:val="0"/>
          <w:numId w:val="9"/>
        </w:numPr>
        <w:tabs>
          <w:tab w:val="left" w:pos="1427"/>
        </w:tabs>
        <w:ind w:right="705"/>
        <w:rPr>
          <w:b/>
          <w:sz w:val="24"/>
          <w:lang w:val="sr-Cyrl-RS"/>
        </w:rPr>
      </w:pPr>
      <w:r>
        <w:rPr>
          <w:sz w:val="24"/>
          <w:lang w:val="sr-Cyrl-RS"/>
        </w:rPr>
        <w:t>U</w:t>
      </w:r>
      <w:r w:rsidR="001B2B1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1B2B1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predloženih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</w:t>
      </w:r>
      <w:r w:rsidR="001B2B1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Poglavlja</w:t>
      </w:r>
      <w:r w:rsidR="002371ED" w:rsidRPr="00A54F50">
        <w:rPr>
          <w:sz w:val="24"/>
          <w:lang w:val="sr-Cyrl-RS"/>
        </w:rPr>
        <w:t xml:space="preserve"> </w:t>
      </w:r>
      <w:r w:rsidR="007D03A5">
        <w:rPr>
          <w:sz w:val="24"/>
          <w:lang w:val="sr-Latn-RS"/>
        </w:rPr>
        <w:t>II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ZJBS</w:t>
      </w:r>
      <w:r w:rsidR="001B2B1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postupku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vođenja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okviru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odeljka</w:t>
      </w:r>
      <w:r w:rsidR="002371ED" w:rsidRPr="00A54F50">
        <w:rPr>
          <w:sz w:val="24"/>
          <w:lang w:val="sr-Cyrl-RS"/>
        </w:rPr>
        <w:t xml:space="preserve"> 4</w:t>
      </w:r>
      <w:r w:rsidR="007D03A5">
        <w:rPr>
          <w:sz w:val="24"/>
          <w:lang w:val="sr-Cyrl-RS"/>
        </w:rPr>
        <w:t>: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Objavljivanje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delova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zaključenje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1B2B1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2371ED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ovom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marta</w:t>
      </w:r>
      <w:r w:rsidR="002371ED" w:rsidRPr="00A54F50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data</w:t>
      </w:r>
      <w:r w:rsidR="001B2B1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B2B1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sledeća</w:t>
      </w:r>
      <w:r w:rsidR="001B2B1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2371ED" w:rsidRPr="00A54F50">
        <w:rPr>
          <w:sz w:val="24"/>
          <w:lang w:val="sr-Cyrl-RS"/>
        </w:rPr>
        <w:t xml:space="preserve">: </w:t>
      </w:r>
      <w:r w:rsidR="002371ED" w:rsidRPr="003A4369">
        <w:rPr>
          <w:i/>
          <w:iCs/>
          <w:sz w:val="24"/>
          <w:lang w:val="sr-Cyrl-RS"/>
        </w:rPr>
        <w:t>„</w:t>
      </w:r>
      <w:r>
        <w:rPr>
          <w:i/>
          <w:iCs/>
          <w:spacing w:val="-2"/>
          <w:sz w:val="24"/>
          <w:lang w:val="sr-Cyrl-RS"/>
        </w:rPr>
        <w:t>Da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bi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se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dodatno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povećala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transparentnost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upisa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birača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i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poverenje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u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birački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spisak</w:t>
      </w:r>
      <w:r w:rsidR="007D03A5" w:rsidRPr="007D03A5">
        <w:rPr>
          <w:i/>
          <w:iCs/>
          <w:spacing w:val="-2"/>
          <w:sz w:val="24"/>
          <w:lang w:val="sr-Cyrl-RS"/>
        </w:rPr>
        <w:t xml:space="preserve">, </w:t>
      </w:r>
      <w:r>
        <w:rPr>
          <w:i/>
          <w:iCs/>
          <w:spacing w:val="-2"/>
          <w:sz w:val="24"/>
          <w:lang w:val="sr-Cyrl-RS"/>
        </w:rPr>
        <w:t>mogla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bi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se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razmotriti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mogućnost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da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se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u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predloženi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nacrt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uključi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periodično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objavljivanje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broja</w:t>
      </w:r>
      <w:r w:rsidR="007D03A5" w:rsidRPr="007D03A5">
        <w:rPr>
          <w:i/>
          <w:iCs/>
          <w:spacing w:val="-2"/>
          <w:sz w:val="24"/>
          <w:lang w:val="sr-Cyrl-RS"/>
        </w:rPr>
        <w:t xml:space="preserve">  </w:t>
      </w:r>
      <w:r>
        <w:rPr>
          <w:i/>
          <w:iCs/>
          <w:spacing w:val="-2"/>
          <w:sz w:val="24"/>
          <w:lang w:val="sr-Cyrl-RS"/>
        </w:rPr>
        <w:t>birača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upisanih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po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opštini</w:t>
      </w:r>
      <w:r w:rsidR="007D03A5" w:rsidRPr="007D03A5">
        <w:rPr>
          <w:i/>
          <w:iCs/>
          <w:spacing w:val="-2"/>
          <w:sz w:val="24"/>
          <w:lang w:val="sr-Cyrl-RS"/>
        </w:rPr>
        <w:t xml:space="preserve">. </w:t>
      </w:r>
      <w:r>
        <w:rPr>
          <w:i/>
          <w:iCs/>
          <w:spacing w:val="-2"/>
          <w:sz w:val="24"/>
          <w:lang w:val="sr-Cyrl-RS"/>
        </w:rPr>
        <w:t>Osim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toga</w:t>
      </w:r>
      <w:r w:rsidR="007D03A5" w:rsidRPr="007D03A5">
        <w:rPr>
          <w:i/>
          <w:iCs/>
          <w:spacing w:val="-2"/>
          <w:sz w:val="24"/>
          <w:lang w:val="sr-Cyrl-RS"/>
        </w:rPr>
        <w:t xml:space="preserve">, </w:t>
      </w:r>
      <w:r>
        <w:rPr>
          <w:i/>
          <w:iCs/>
          <w:spacing w:val="-2"/>
          <w:sz w:val="24"/>
          <w:lang w:val="sr-Cyrl-RS"/>
        </w:rPr>
        <w:t>pristup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JBS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treba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da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bude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dozvoljen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kako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tokom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redovnog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vođenja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evidencija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građana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i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biračkog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spiska</w:t>
      </w:r>
      <w:r w:rsidR="007D03A5" w:rsidRPr="007D03A5">
        <w:rPr>
          <w:i/>
          <w:iCs/>
          <w:spacing w:val="-2"/>
          <w:sz w:val="24"/>
          <w:lang w:val="sr-Cyrl-RS"/>
        </w:rPr>
        <w:t xml:space="preserve">, </w:t>
      </w:r>
      <w:r>
        <w:rPr>
          <w:i/>
          <w:iCs/>
          <w:spacing w:val="-2"/>
          <w:sz w:val="24"/>
          <w:lang w:val="sr-Cyrl-RS"/>
        </w:rPr>
        <w:t>tako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i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tokom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predizbornog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perioda</w:t>
      </w:r>
      <w:r w:rsidR="007D03A5" w:rsidRPr="007D03A5">
        <w:rPr>
          <w:i/>
          <w:iCs/>
          <w:spacing w:val="-2"/>
          <w:sz w:val="24"/>
          <w:lang w:val="sr-Cyrl-RS"/>
        </w:rPr>
        <w:t xml:space="preserve">, </w:t>
      </w:r>
      <w:r>
        <w:rPr>
          <w:i/>
          <w:iCs/>
          <w:spacing w:val="-2"/>
          <w:sz w:val="24"/>
          <w:lang w:val="sr-Cyrl-RS"/>
        </w:rPr>
        <w:t>a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ne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samo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u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vreme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zaključivanja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biračkog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spiska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kako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je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predloženo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u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Nacrtu</w:t>
      </w:r>
      <w:r w:rsidR="007D03A5" w:rsidRPr="007D03A5">
        <w:rPr>
          <w:i/>
          <w:iCs/>
          <w:spacing w:val="-2"/>
          <w:sz w:val="24"/>
          <w:lang w:val="sr-Cyrl-RS"/>
        </w:rPr>
        <w:t xml:space="preserve"> </w:t>
      </w:r>
      <w:r>
        <w:rPr>
          <w:i/>
          <w:iCs/>
          <w:spacing w:val="-2"/>
          <w:sz w:val="24"/>
          <w:lang w:val="sr-Cyrl-RS"/>
        </w:rPr>
        <w:t>zakona</w:t>
      </w:r>
      <w:r w:rsidR="007D03A5" w:rsidRPr="007D03A5">
        <w:rPr>
          <w:i/>
          <w:iCs/>
          <w:spacing w:val="-2"/>
          <w:sz w:val="24"/>
          <w:lang w:val="sr-Cyrl-RS"/>
        </w:rPr>
        <w:t>.“</w:t>
      </w:r>
      <w:r w:rsidR="007D03A5" w:rsidRPr="007D03A5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Pozitivno</w:t>
      </w:r>
      <w:r w:rsidR="001B2B19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je</w:t>
      </w:r>
      <w:r w:rsidR="001B2B19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što</w:t>
      </w:r>
      <w:r w:rsidR="007D03A5" w:rsidRPr="007D03A5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ažurirani</w:t>
      </w:r>
      <w:r w:rsidR="007D03A5" w:rsidRPr="007D03A5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Nacrt</w:t>
      </w:r>
      <w:r w:rsidR="007D03A5" w:rsidRPr="007D03A5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zakona</w:t>
      </w:r>
      <w:r w:rsidR="007D03A5" w:rsidRPr="007D03A5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</w:t>
      </w:r>
      <w:r w:rsidR="007D03A5" w:rsidRPr="007D03A5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zadovoljavajući</w:t>
      </w:r>
      <w:r w:rsidR="007D03A5" w:rsidRPr="007D03A5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način</w:t>
      </w:r>
      <w:r w:rsidR="007D03A5" w:rsidRPr="007D03A5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adresira</w:t>
      </w:r>
      <w:r w:rsidR="007D03A5" w:rsidRPr="007D03A5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oba</w:t>
      </w:r>
      <w:r w:rsidR="007D03A5" w:rsidRPr="007D03A5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aspekta</w:t>
      </w:r>
      <w:r w:rsidR="007D03A5" w:rsidRPr="007D03A5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gore</w:t>
      </w:r>
      <w:r w:rsidR="007D03A5" w:rsidRPr="007D03A5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navedene</w:t>
      </w:r>
      <w:r w:rsidR="007D03A5" w:rsidRPr="007D03A5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preporuke</w:t>
      </w:r>
    </w:p>
    <w:p w14:paraId="3ADBAE36" w14:textId="6D80B1D2" w:rsidR="00843802" w:rsidRPr="00A54F50" w:rsidRDefault="006E6361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4"/>
        <w:rPr>
          <w:sz w:val="24"/>
          <w:lang w:val="sr-Cyrl-RS"/>
        </w:rPr>
      </w:pPr>
      <w:r>
        <w:rPr>
          <w:sz w:val="24"/>
          <w:lang w:val="sr-Cyrl-RS"/>
        </w:rPr>
        <w:t>Konkretno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ažurirani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2371ED" w:rsidRPr="00A54F50">
        <w:rPr>
          <w:sz w:val="24"/>
          <w:lang w:val="sr-Cyrl-RS"/>
        </w:rPr>
        <w:t xml:space="preserve"> 14. </w:t>
      </w:r>
      <w:r>
        <w:rPr>
          <w:sz w:val="24"/>
          <w:lang w:val="sr-Cyrl-RS"/>
        </w:rPr>
        <w:t>ZJBS</w:t>
      </w:r>
      <w:r w:rsidR="002371ED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član</w:t>
      </w:r>
      <w:r w:rsidR="002371ED" w:rsidRPr="00A54F50">
        <w:rPr>
          <w:sz w:val="24"/>
          <w:lang w:val="sr-Cyrl-RS"/>
        </w:rPr>
        <w:t xml:space="preserve"> 1. </w:t>
      </w:r>
      <w:r>
        <w:rPr>
          <w:sz w:val="24"/>
          <w:lang w:val="sr-Cyrl-RS"/>
        </w:rPr>
        <w:t>ažuriranog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2371ED" w:rsidRPr="00A54F50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uvodi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zahtev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1B2B1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svakih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sedam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dana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zaključenja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Ministarstvo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državne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uprave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lokalne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samouprave</w:t>
      </w:r>
      <w:r w:rsidR="002371ED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MDULS</w:t>
      </w:r>
      <w:r w:rsidR="002371ED" w:rsidRPr="00A54F50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objavljuje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svojoj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veb</w:t>
      </w:r>
      <w:r w:rsidR="001B2B19">
        <w:rPr>
          <w:sz w:val="24"/>
          <w:lang w:val="sr-Cyrl-RS"/>
        </w:rPr>
        <w:t>-</w:t>
      </w:r>
      <w:r>
        <w:rPr>
          <w:sz w:val="24"/>
          <w:lang w:val="sr-Cyrl-RS"/>
        </w:rPr>
        <w:t>prezentaciji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podatke</w:t>
      </w:r>
      <w:r w:rsidR="002204F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2204F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broju</w:t>
      </w:r>
      <w:r w:rsidR="002204F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birača</w:t>
      </w:r>
      <w:r w:rsidR="002204F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razvrstane</w:t>
      </w:r>
      <w:r w:rsidR="002204F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jedinicama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lokalne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samouprave</w:t>
      </w:r>
      <w:r w:rsidR="002371ED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Osim</w:t>
      </w:r>
      <w:r w:rsidR="002204F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ažuriranim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predlogom</w:t>
      </w:r>
      <w:r w:rsidR="002204F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2371ED" w:rsidRPr="00A54F50">
        <w:rPr>
          <w:sz w:val="24"/>
          <w:lang w:val="sr-Cyrl-RS"/>
        </w:rPr>
        <w:t xml:space="preserve"> 17. </w:t>
      </w:r>
      <w:r>
        <w:rPr>
          <w:sz w:val="24"/>
          <w:lang w:val="sr-Cyrl-RS"/>
        </w:rPr>
        <w:t>ZJBS</w:t>
      </w:r>
      <w:r w:rsidR="002371ED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član</w:t>
      </w:r>
      <w:r w:rsidR="002371ED" w:rsidRPr="00A54F50">
        <w:rPr>
          <w:sz w:val="24"/>
          <w:lang w:val="sr-Cyrl-RS"/>
        </w:rPr>
        <w:t xml:space="preserve"> 2. </w:t>
      </w:r>
      <w:r>
        <w:rPr>
          <w:sz w:val="24"/>
          <w:lang w:val="sr-Cyrl-RS"/>
        </w:rPr>
        <w:t>ažuriranog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2371ED" w:rsidRPr="00A54F50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uklanja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ograničenost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vremenskog</w:t>
      </w:r>
      <w:r w:rsidR="00C554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perioda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uvid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postojalo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prethodnoj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odnosno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nakon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zaključenja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2371ED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Prema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ažuriranom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javni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biće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moguć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trenutku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uključujući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tokom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redovnog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vođenja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matičnih</w:t>
      </w:r>
      <w:r w:rsidR="00C5540C" w:rsidRPr="00C70D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knjiga</w:t>
      </w:r>
      <w:r w:rsidR="002371ED" w:rsidRPr="00C70D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C70D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2371ED" w:rsidRPr="00C70D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tokom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predizbornog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perioda</w:t>
      </w:r>
      <w:r w:rsidR="002371ED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Prema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ažuriranom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konkretni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dostupni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zaključenju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odnose</w:t>
      </w:r>
      <w:r w:rsidR="00C554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C554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C554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glasati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predstojećim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izborima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osnovu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prebivališta</w:t>
      </w:r>
      <w:r w:rsidR="002371ED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boravišta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ili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privremenog</w:t>
      </w:r>
      <w:r w:rsidR="00C554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boravka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inostranstvu</w:t>
      </w:r>
      <w:r w:rsidR="002371ED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poslednja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kategorija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dodata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ažuriranom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2371ED" w:rsidRPr="00A54F50">
        <w:rPr>
          <w:sz w:val="24"/>
          <w:lang w:val="sr-Cyrl-RS"/>
        </w:rPr>
        <w:t>).</w:t>
      </w:r>
    </w:p>
    <w:p w14:paraId="18B729C8" w14:textId="77777777" w:rsidR="00843802" w:rsidRPr="00A54F50" w:rsidRDefault="00843802">
      <w:pPr>
        <w:pStyle w:val="BodyText"/>
        <w:spacing w:before="205"/>
        <w:ind w:left="0"/>
        <w:rPr>
          <w:lang w:val="sr-Cyrl-RS"/>
        </w:rPr>
      </w:pPr>
    </w:p>
    <w:p w14:paraId="45CAA12B" w14:textId="5318088D" w:rsidR="00843802" w:rsidRPr="00A54F50" w:rsidRDefault="003A4369">
      <w:pPr>
        <w:pStyle w:val="Heading1"/>
        <w:numPr>
          <w:ilvl w:val="0"/>
          <w:numId w:val="8"/>
        </w:numPr>
        <w:tabs>
          <w:tab w:val="left" w:pos="1314"/>
          <w:tab w:val="left" w:pos="1427"/>
        </w:tabs>
        <w:ind w:right="705"/>
        <w:rPr>
          <w:color w:val="005595"/>
          <w:lang w:val="sr-Cyrl-RS"/>
        </w:rPr>
      </w:pPr>
      <w:r>
        <w:rPr>
          <w:smallCaps/>
          <w:color w:val="005595"/>
          <w:lang w:val="sr-Cyrl-RS"/>
        </w:rPr>
        <w:t xml:space="preserve">  </w:t>
      </w:r>
      <w:r w:rsidR="006E6361">
        <w:rPr>
          <w:smallCaps/>
          <w:color w:val="005595"/>
          <w:lang w:val="sr-Cyrl-RS"/>
        </w:rPr>
        <w:t>PREDLOG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IZMENA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POGLAVLjA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C5540C" w:rsidRPr="005560BB">
        <w:rPr>
          <w:color w:val="005595"/>
          <w:lang w:val="sr-Cyrl-RS"/>
        </w:rPr>
        <w:t>IV</w:t>
      </w:r>
      <w:r w:rsidR="002371ED" w:rsidRPr="00A54F50">
        <w:rPr>
          <w:smallCaps/>
          <w:color w:val="005595"/>
          <w:lang w:val="sr-Cyrl-RS"/>
        </w:rPr>
        <w:t xml:space="preserve">: </w:t>
      </w:r>
      <w:r w:rsidR="006E6361">
        <w:rPr>
          <w:smallCaps/>
          <w:color w:val="005595"/>
          <w:lang w:val="sr-Cyrl-RS"/>
        </w:rPr>
        <w:t>POSEBNA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PRAVA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UČESNIKA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NA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IZBORIMA</w:t>
      </w:r>
      <w:r w:rsidR="002371ED" w:rsidRPr="00A54F50">
        <w:rPr>
          <w:smallCaps/>
          <w:color w:val="005595"/>
          <w:lang w:val="sr-Cyrl-RS"/>
        </w:rPr>
        <w:t xml:space="preserve"> – </w:t>
      </w:r>
      <w:r w:rsidR="006E6361">
        <w:rPr>
          <w:smallCaps/>
          <w:color w:val="005595"/>
          <w:lang w:val="sr-Cyrl-RS"/>
        </w:rPr>
        <w:t>PRAVO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NA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UVID</w:t>
      </w:r>
      <w:r w:rsidR="00C5540C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I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PODNOŠENjE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ZAHTEVA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ZA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PROMENU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U</w:t>
      </w:r>
      <w:r w:rsidR="00C5540C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BIRAČKOM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SPISKU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I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NOVO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POGLAVLjE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C5540C" w:rsidRPr="005560BB">
        <w:rPr>
          <w:color w:val="005595"/>
          <w:lang w:val="sr-Cyrl-RS"/>
        </w:rPr>
        <w:t>VI</w:t>
      </w:r>
      <w:r w:rsidR="006E6361">
        <w:rPr>
          <w:color w:val="005595"/>
          <w:lang w:val="sr-Cyrl-RS"/>
        </w:rPr>
        <w:t>a</w:t>
      </w:r>
      <w:r w:rsidR="00C5540C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O</w:t>
      </w:r>
      <w:r w:rsidR="00C5540C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ZAŠTITI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PODATAKA</w:t>
      </w:r>
      <w:r w:rsidR="00C5540C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O</w:t>
      </w:r>
      <w:r w:rsidR="00C5540C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LIČNOSTI</w:t>
      </w:r>
    </w:p>
    <w:p w14:paraId="0995BB5A" w14:textId="77777777" w:rsidR="00843802" w:rsidRPr="00A54F50" w:rsidRDefault="00843802">
      <w:pPr>
        <w:pStyle w:val="BodyText"/>
        <w:spacing w:before="21"/>
        <w:ind w:left="0"/>
        <w:rPr>
          <w:b/>
          <w:sz w:val="19"/>
          <w:lang w:val="sr-Cyrl-RS"/>
        </w:rPr>
      </w:pPr>
    </w:p>
    <w:p w14:paraId="748C557D" w14:textId="62C30B17" w:rsidR="00843802" w:rsidRPr="00496C2B" w:rsidRDefault="006E6361" w:rsidP="00496C2B">
      <w:pPr>
        <w:pStyle w:val="ListParagraph"/>
        <w:numPr>
          <w:ilvl w:val="0"/>
          <w:numId w:val="9"/>
        </w:numPr>
        <w:tabs>
          <w:tab w:val="left" w:pos="1427"/>
        </w:tabs>
        <w:spacing w:before="268"/>
        <w:ind w:right="706"/>
        <w:rPr>
          <w:lang w:val="sr-Cyrl-RS"/>
        </w:rPr>
      </w:pPr>
      <w:r>
        <w:rPr>
          <w:sz w:val="24"/>
          <w:lang w:val="sr-Cyrl-RS"/>
        </w:rPr>
        <w:t>U</w:t>
      </w:r>
      <w:r w:rsidR="00C70D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C70D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predloženih</w:t>
      </w:r>
      <w:r w:rsidR="00C70D49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</w:t>
      </w:r>
      <w:r w:rsidR="00C70D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Poglavlja</w:t>
      </w:r>
      <w:r w:rsidR="00C70D49" w:rsidRPr="00A54F50">
        <w:rPr>
          <w:sz w:val="24"/>
          <w:lang w:val="sr-Cyrl-RS"/>
        </w:rPr>
        <w:t xml:space="preserve"> </w:t>
      </w:r>
      <w:r w:rsidR="00C70D49">
        <w:rPr>
          <w:sz w:val="24"/>
          <w:lang w:val="sr-Latn-RS"/>
        </w:rPr>
        <w:t>IV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ZJBS</w:t>
      </w:r>
      <w:r w:rsidR="00C70D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posebnim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pravima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učesnika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izborima</w:t>
      </w:r>
      <w:r w:rsidR="002371ED" w:rsidRPr="00496C2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konkretno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pravu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uvid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podnošenje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zahteva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promenu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C70D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biračkom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spisku</w:t>
      </w:r>
      <w:r w:rsidR="002371ED" w:rsidRPr="00496C2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predloženog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novog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poglavlja</w:t>
      </w:r>
      <w:r w:rsidR="002371ED" w:rsidRPr="00496C2B">
        <w:rPr>
          <w:sz w:val="24"/>
          <w:lang w:val="sr-Cyrl-RS"/>
        </w:rPr>
        <w:t xml:space="preserve"> </w:t>
      </w:r>
      <w:r w:rsidR="00C70D49">
        <w:rPr>
          <w:sz w:val="24"/>
          <w:lang w:val="sr-Latn-RS"/>
        </w:rPr>
        <w:t>VI</w:t>
      </w:r>
      <w:r>
        <w:rPr>
          <w:sz w:val="24"/>
          <w:lang w:val="sr-Cyrl-RS"/>
        </w:rPr>
        <w:t>a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zaštiti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ličnosti</w:t>
      </w:r>
      <w:r w:rsidR="002371ED" w:rsidRPr="00496C2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C70D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C70D49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ovom</w:t>
      </w:r>
      <w:r w:rsidR="00C70D49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Mišljenju</w:t>
      </w:r>
      <w:r w:rsidR="00C70D49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C70D49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marta</w:t>
      </w:r>
      <w:r w:rsidR="00C70D49" w:rsidRPr="00A54F50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dato</w:t>
      </w:r>
      <w:r w:rsidR="00C70D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C70D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nekoliko</w:t>
      </w:r>
      <w:r w:rsidR="00C70D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2371ED" w:rsidRPr="00496C2B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Prvo</w:t>
      </w:r>
      <w:r w:rsidR="002371ED" w:rsidRPr="00496C2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navodi</w:t>
      </w:r>
      <w:r w:rsidR="00C70D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2371ED" w:rsidRPr="00496C2B">
        <w:rPr>
          <w:sz w:val="24"/>
          <w:lang w:val="sr-Cyrl-RS"/>
        </w:rPr>
        <w:t xml:space="preserve"> </w:t>
      </w:r>
      <w:r w:rsidR="002371ED" w:rsidRPr="00496C2B">
        <w:rPr>
          <w:i/>
          <w:iCs/>
          <w:sz w:val="24"/>
          <w:lang w:val="sr-Cyrl-RS"/>
        </w:rPr>
        <w:t>„</w:t>
      </w:r>
      <w:r>
        <w:rPr>
          <w:i/>
          <w:iCs/>
          <w:sz w:val="24"/>
          <w:lang w:val="sr-Cyrl-RS"/>
        </w:rPr>
        <w:t>radi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pravne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sigurnosti</w:t>
      </w:r>
      <w:r w:rsidR="00F74E45">
        <w:rPr>
          <w:i/>
          <w:iCs/>
          <w:sz w:val="24"/>
          <w:lang w:val="sr-Cyrl-RS"/>
        </w:rPr>
        <w:t>,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preporučuje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da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se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utvrdi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koje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moguće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radnje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Republička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izborna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komisija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može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ili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treba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da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preduzme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ako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utvrdi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nepravilnosti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prilikom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pristupa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JBS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podacima</w:t>
      </w:r>
      <w:r w:rsidR="002371ED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birača</w:t>
      </w:r>
      <w:r w:rsidR="002371ED" w:rsidRPr="00496C2B">
        <w:rPr>
          <w:i/>
          <w:iCs/>
          <w:sz w:val="24"/>
          <w:lang w:val="sr-Cyrl-RS"/>
        </w:rPr>
        <w:t>“.</w:t>
      </w:r>
      <w:r w:rsidR="002371ED" w:rsidRPr="00496C2B">
        <w:rPr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Pozitivno</w:t>
      </w:r>
      <w:r w:rsidR="00F74E45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je</w:t>
      </w:r>
      <w:r w:rsidR="00F74E45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što</w:t>
      </w:r>
      <w:r w:rsidR="002371ED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ažurirani</w:t>
      </w:r>
      <w:r w:rsidR="002371ED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Nacrt</w:t>
      </w:r>
      <w:r w:rsidR="002371ED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zakona</w:t>
      </w:r>
      <w:r w:rsidR="002371ED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</w:t>
      </w:r>
      <w:r w:rsidR="002371ED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zadovoljavajući</w:t>
      </w:r>
      <w:r w:rsidR="002371ED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način</w:t>
      </w:r>
      <w:r w:rsidR="002371ED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adresira</w:t>
      </w:r>
      <w:r w:rsidR="002371ED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ovu</w:t>
      </w:r>
      <w:r w:rsidR="002371ED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preporuku</w:t>
      </w:r>
      <w:r w:rsidR="002371ED" w:rsidRPr="00496C2B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S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tim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2371ED" w:rsidRPr="00496C2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ažurirani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2371ED" w:rsidRPr="00496C2B">
        <w:rPr>
          <w:sz w:val="24"/>
          <w:lang w:val="sr-Cyrl-RS"/>
        </w:rPr>
        <w:t xml:space="preserve"> 21. </w:t>
      </w:r>
      <w:r>
        <w:rPr>
          <w:sz w:val="24"/>
          <w:lang w:val="sr-Cyrl-RS"/>
        </w:rPr>
        <w:t>ZJBS</w:t>
      </w:r>
      <w:r w:rsidR="002371ED" w:rsidRPr="00496C2B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član</w:t>
      </w:r>
      <w:r w:rsidR="002371ED" w:rsidRPr="00496C2B">
        <w:rPr>
          <w:sz w:val="24"/>
          <w:lang w:val="sr-Cyrl-RS"/>
        </w:rPr>
        <w:t xml:space="preserve"> 3. </w:t>
      </w:r>
      <w:r>
        <w:rPr>
          <w:sz w:val="24"/>
          <w:lang w:val="sr-Cyrl-RS"/>
        </w:rPr>
        <w:t>u</w:t>
      </w:r>
      <w:r w:rsidR="00F74E4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obe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verzije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2371ED" w:rsidRPr="00496C2B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sadrži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novi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drugi</w:t>
      </w:r>
      <w:r w:rsidR="00F74E4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stav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Republičkoj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izbornoj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komisiji</w:t>
      </w:r>
      <w:r w:rsidR="002371ED" w:rsidRPr="00496C2B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RIK</w:t>
      </w:r>
      <w:r w:rsidR="002371ED" w:rsidRPr="00496C2B">
        <w:rPr>
          <w:sz w:val="24"/>
          <w:lang w:val="sr-Cyrl-RS"/>
        </w:rPr>
        <w:t>)</w:t>
      </w:r>
      <w:r w:rsidR="00CE52D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stalnom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proširenom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sastavu</w:t>
      </w:r>
      <w:r w:rsidR="002371ED" w:rsidRPr="00496C2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daje</w:t>
      </w:r>
      <w:r w:rsidR="00CE52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pravo</w:t>
      </w:r>
      <w:r w:rsidR="00CE52DE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CE52DE">
        <w:rPr>
          <w:sz w:val="24"/>
          <w:lang w:val="sr-Cyrl-RS"/>
        </w:rPr>
        <w:t>,</w:t>
      </w:r>
      <w:r w:rsidR="00CE52DE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preko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sekretara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2371ED" w:rsidRPr="00496C2B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2371ED" w:rsidRPr="00496C2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podnese</w:t>
      </w:r>
      <w:r w:rsidR="00BC070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pritužbu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MDULS</w:t>
      </w:r>
      <w:r w:rsidR="002371ED" w:rsidRPr="00496C2B">
        <w:rPr>
          <w:sz w:val="24"/>
          <w:lang w:val="sr-Cyrl-RS"/>
        </w:rPr>
        <w:t>-</w:t>
      </w:r>
      <w:r>
        <w:rPr>
          <w:sz w:val="24"/>
          <w:lang w:val="sr-Cyrl-RS"/>
        </w:rPr>
        <w:t>u</w:t>
      </w:r>
      <w:r w:rsidR="002371ED" w:rsidRPr="00496C2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CE52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tačnosti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CE52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ažurnosti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CE52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biračkom</w:t>
      </w:r>
      <w:r w:rsidR="00CE52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spisku</w:t>
      </w:r>
      <w:r w:rsidR="00496C2B">
        <w:rPr>
          <w:rStyle w:val="FootnoteReference"/>
          <w:sz w:val="24"/>
          <w:lang w:val="sr-Cyrl-RS"/>
        </w:rPr>
        <w:footnoteReference w:id="7"/>
      </w:r>
      <w:r w:rsidR="002371ED" w:rsidRPr="00496C2B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Takođe</w:t>
      </w:r>
      <w:r w:rsidR="00CE52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CE52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određuje</w:t>
      </w:r>
      <w:r w:rsidR="00BC070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obaveza</w:t>
      </w:r>
      <w:r w:rsidR="00BC070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BC070A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CE52DE">
        <w:rPr>
          <w:sz w:val="24"/>
          <w:lang w:val="sr-Cyrl-RS"/>
        </w:rPr>
        <w:t xml:space="preserve"> </w:t>
      </w:r>
      <w:r>
        <w:rPr>
          <w:lang w:val="sr-Cyrl-RS"/>
        </w:rPr>
        <w:t>da</w:t>
      </w:r>
      <w:r w:rsidR="00CE52DE">
        <w:rPr>
          <w:lang w:val="sr-Cyrl-RS"/>
        </w:rPr>
        <w:t xml:space="preserve"> </w:t>
      </w:r>
      <w:r>
        <w:rPr>
          <w:lang w:val="sr-Cyrl-RS"/>
        </w:rPr>
        <w:t>na</w:t>
      </w:r>
      <w:r w:rsidR="00BC070A">
        <w:rPr>
          <w:lang w:val="sr-Cyrl-RS"/>
        </w:rPr>
        <w:t xml:space="preserve"> </w:t>
      </w:r>
      <w:r>
        <w:rPr>
          <w:lang w:val="sr-Cyrl-RS"/>
        </w:rPr>
        <w:t>nju</w:t>
      </w:r>
      <w:r w:rsidR="00BC070A">
        <w:rPr>
          <w:lang w:val="sr-Cyrl-RS"/>
        </w:rPr>
        <w:t xml:space="preserve"> </w:t>
      </w:r>
      <w:r>
        <w:rPr>
          <w:lang w:val="sr-Cyrl-RS"/>
        </w:rPr>
        <w:t>odgovori</w:t>
      </w:r>
      <w:r w:rsidR="00BC070A">
        <w:rPr>
          <w:lang w:val="sr-Cyrl-RS"/>
        </w:rPr>
        <w:t xml:space="preserve"> </w:t>
      </w:r>
      <w:r>
        <w:rPr>
          <w:lang w:val="sr-Cyrl-RS"/>
        </w:rPr>
        <w:t>u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roku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od</w:t>
      </w:r>
      <w:r w:rsidR="002371ED" w:rsidRPr="00496C2B">
        <w:rPr>
          <w:lang w:val="sr-Cyrl-RS"/>
        </w:rPr>
        <w:t xml:space="preserve"> </w:t>
      </w:r>
      <w:r w:rsidR="002371ED" w:rsidRPr="00496C2B">
        <w:rPr>
          <w:lang w:val="sr-Cyrl-RS"/>
        </w:rPr>
        <w:lastRenderedPageBreak/>
        <w:t xml:space="preserve">15 </w:t>
      </w:r>
      <w:r>
        <w:rPr>
          <w:lang w:val="sr-Cyrl-RS"/>
        </w:rPr>
        <w:t>dana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od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dana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njenog</w:t>
      </w:r>
      <w:r w:rsidR="00BC070A">
        <w:rPr>
          <w:lang w:val="sr-Cyrl-RS"/>
        </w:rPr>
        <w:t xml:space="preserve"> </w:t>
      </w:r>
      <w:r>
        <w:rPr>
          <w:lang w:val="sr-Cyrl-RS"/>
        </w:rPr>
        <w:t>prijema</w:t>
      </w:r>
      <w:r w:rsidR="002371ED" w:rsidRPr="00496C2B">
        <w:rPr>
          <w:lang w:val="sr-Cyrl-RS"/>
        </w:rPr>
        <w:t xml:space="preserve">. </w:t>
      </w:r>
      <w:r>
        <w:rPr>
          <w:lang w:val="sr-Cyrl-RS"/>
        </w:rPr>
        <w:t>Osim</w:t>
      </w:r>
      <w:r w:rsidR="00CE52DE">
        <w:rPr>
          <w:lang w:val="sr-Cyrl-RS"/>
        </w:rPr>
        <w:t xml:space="preserve"> </w:t>
      </w:r>
      <w:r>
        <w:rPr>
          <w:lang w:val="sr-Cyrl-RS"/>
        </w:rPr>
        <w:t>toga</w:t>
      </w:r>
      <w:r w:rsidR="002371ED" w:rsidRPr="00496C2B">
        <w:rPr>
          <w:lang w:val="sr-Cyrl-RS"/>
        </w:rPr>
        <w:t xml:space="preserve">, </w:t>
      </w:r>
      <w:r>
        <w:rPr>
          <w:lang w:val="sr-Cyrl-RS"/>
        </w:rPr>
        <w:t>član</w:t>
      </w:r>
      <w:r w:rsidR="002371ED" w:rsidRPr="00496C2B">
        <w:rPr>
          <w:lang w:val="sr-Cyrl-RS"/>
        </w:rPr>
        <w:t xml:space="preserve"> 23. </w:t>
      </w:r>
      <w:r>
        <w:rPr>
          <w:lang w:val="sr-Cyrl-RS"/>
        </w:rPr>
        <w:t>ažuriranog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Nacrta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zakona</w:t>
      </w:r>
      <w:r w:rsidR="002371ED" w:rsidRPr="00496C2B">
        <w:rPr>
          <w:lang w:val="sr-Cyrl-RS"/>
        </w:rPr>
        <w:t xml:space="preserve"> (</w:t>
      </w:r>
      <w:r>
        <w:rPr>
          <w:lang w:val="sr-Cyrl-RS"/>
        </w:rPr>
        <w:t>ranije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član</w:t>
      </w:r>
      <w:r w:rsidR="002371ED" w:rsidRPr="00496C2B">
        <w:rPr>
          <w:lang w:val="sr-Cyrl-RS"/>
        </w:rPr>
        <w:t xml:space="preserve"> 22. </w:t>
      </w:r>
      <w:r>
        <w:rPr>
          <w:lang w:val="sr-Cyrl-RS"/>
        </w:rPr>
        <w:t>prethodne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verzije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Nacrta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zakona</w:t>
      </w:r>
      <w:r w:rsidR="002371ED" w:rsidRPr="00496C2B">
        <w:rPr>
          <w:lang w:val="sr-Cyrl-RS"/>
        </w:rPr>
        <w:t xml:space="preserve">) </w:t>
      </w:r>
      <w:r>
        <w:rPr>
          <w:lang w:val="sr-Cyrl-RS"/>
        </w:rPr>
        <w:t>sadrži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dva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nova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stava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koja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predviđaju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da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članovi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i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zamenici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članova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RIK</w:t>
      </w:r>
      <w:r w:rsidR="002371ED" w:rsidRPr="00496C2B">
        <w:rPr>
          <w:lang w:val="sr-Cyrl-RS"/>
        </w:rPr>
        <w:t>-</w:t>
      </w:r>
      <w:r>
        <w:rPr>
          <w:lang w:val="sr-Cyrl-RS"/>
        </w:rPr>
        <w:t>a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imaju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pravo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da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podnose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pritužbe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Komisiji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za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reviziju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u</w:t>
      </w:r>
      <w:r w:rsidR="00BC070A">
        <w:rPr>
          <w:lang w:val="sr-Cyrl-RS"/>
        </w:rPr>
        <w:t xml:space="preserve"> </w:t>
      </w:r>
      <w:r>
        <w:rPr>
          <w:lang w:val="sr-Cyrl-RS"/>
        </w:rPr>
        <w:t>vezi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tačnosti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JBS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i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njegove</w:t>
      </w:r>
      <w:r w:rsidR="00BC070A">
        <w:rPr>
          <w:lang w:val="sr-Cyrl-RS"/>
        </w:rPr>
        <w:t xml:space="preserve"> </w:t>
      </w:r>
      <w:r>
        <w:rPr>
          <w:lang w:val="sr-Cyrl-RS"/>
        </w:rPr>
        <w:t>ažurnosti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i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da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budu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pozvani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na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sednicu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Komisije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za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reviziju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prilikom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BC070A">
        <w:rPr>
          <w:lang w:val="sr-Cyrl-RS"/>
        </w:rPr>
        <w:t xml:space="preserve"> </w:t>
      </w:r>
      <w:r>
        <w:rPr>
          <w:lang w:val="sr-Cyrl-RS"/>
        </w:rPr>
        <w:t>njihove</w:t>
      </w:r>
      <w:r w:rsidR="002371ED" w:rsidRPr="00496C2B">
        <w:rPr>
          <w:lang w:val="sr-Cyrl-RS"/>
        </w:rPr>
        <w:t xml:space="preserve"> </w:t>
      </w:r>
      <w:r>
        <w:rPr>
          <w:lang w:val="sr-Cyrl-RS"/>
        </w:rPr>
        <w:t>pritužbe</w:t>
      </w:r>
      <w:r w:rsidR="002371ED" w:rsidRPr="00496C2B">
        <w:rPr>
          <w:lang w:val="sr-Cyrl-RS"/>
        </w:rPr>
        <w:t>.</w:t>
      </w:r>
    </w:p>
    <w:p w14:paraId="46B88AA1" w14:textId="77777777" w:rsidR="00843802" w:rsidRPr="00A54F50" w:rsidRDefault="00CE5810">
      <w:pPr>
        <w:pStyle w:val="BodyText"/>
        <w:spacing w:before="9"/>
        <w:ind w:left="0"/>
        <w:rPr>
          <w:sz w:val="18"/>
          <w:lang w:val="sr-Cyrl-RS"/>
        </w:rPr>
      </w:pPr>
      <w:r w:rsidRPr="00A54F50">
        <w:rPr>
          <w:noProof/>
          <w:sz w:val="18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F716941" wp14:editId="5CDF969D">
                <wp:simplePos x="0" y="0"/>
                <wp:positionH relativeFrom="page">
                  <wp:posOffset>1168908</wp:posOffset>
                </wp:positionH>
                <wp:positionV relativeFrom="paragraph">
                  <wp:posOffset>154683</wp:posOffset>
                </wp:positionV>
                <wp:extent cx="5671185" cy="1458595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1185" cy="1458595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3BB05E" w14:textId="11B77F7D" w:rsidR="002371ED" w:rsidRPr="002371ED" w:rsidRDefault="006E6361" w:rsidP="002371ED">
                            <w:pPr>
                              <w:spacing w:before="120"/>
                              <w:ind w:left="108" w:right="383" w:firstLine="28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PREPORUKA</w:t>
                            </w:r>
                            <w:r w:rsidR="002371ED" w:rsidRPr="002371ED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</w:t>
                            </w:r>
                          </w:p>
                          <w:p w14:paraId="263085E0" w14:textId="2FEFFD67" w:rsidR="00843802" w:rsidRDefault="006E6361" w:rsidP="002371ED">
                            <w:pPr>
                              <w:spacing w:before="120"/>
                              <w:ind w:left="108" w:right="383" w:firstLine="28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Preporučuje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se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da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član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om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23.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ažuriranog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Nacrta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zakona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utvrdi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rok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kojem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je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Komisij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a</w:t>
                            </w:r>
                            <w:r w:rsidR="00215062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za</w:t>
                            </w:r>
                            <w:r w:rsidR="00215062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reviziju</w:t>
                            </w:r>
                            <w:r w:rsidR="00215062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dužna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odgovori</w:t>
                            </w:r>
                            <w:r w:rsidR="008A23D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na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pritužbe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vezi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tačnosti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JBS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Osim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toga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da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bi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se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obezbedilo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blagovremeno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rešavanje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t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akvih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pritužbi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trebalo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bi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razmotriti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uvođenje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posebnih</w:t>
                            </w:r>
                            <w:r w:rsidR="00C031CC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hitnih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rokova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u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čl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.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21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.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i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23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.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ažuriranog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Nacrta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zakona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za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MDULS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i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K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omisiju</w:t>
                            </w:r>
                            <w:r w:rsidR="00044173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za</w:t>
                            </w:r>
                            <w:r w:rsidR="00044173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reviziju</w:t>
                            </w:r>
                            <w:r w:rsidR="00750CC0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,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za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rešavanje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pritužbi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tokom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izbornog</w:t>
                            </w:r>
                            <w:r w:rsidR="002371ED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perioda</w:t>
                            </w:r>
                            <w:r w:rsidR="002371ED" w:rsidRPr="002371ED"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16941" id="Textbox 48" o:spid="_x0000_s1027" type="#_x0000_t202" style="position:absolute;margin-left:92.05pt;margin-top:12.2pt;width:446.55pt;height:114.8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" fillcolor="#ebf3fd" strokecolor="#005595" strokeweight=".08431mm">
                <v:path arrowok="t"/>
                <v:textbox inset="0,0,0,0">
                  <w:txbxContent>
                    <w:p w14:paraId="613BB05E" w14:textId="11B77F7D" w:rsidR="002371ED" w:rsidRPr="002371ED" w:rsidRDefault="006E6361" w:rsidP="002371ED">
                      <w:pPr>
                        <w:spacing w:before="120"/>
                        <w:ind w:left="108" w:right="383" w:firstLine="28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PREPORUKA</w:t>
                      </w:r>
                      <w:r w:rsidR="002371ED" w:rsidRPr="002371ED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</w:t>
                      </w:r>
                    </w:p>
                    <w:p w14:paraId="263085E0" w14:textId="2FEFFD67" w:rsidR="00843802" w:rsidRDefault="006E6361" w:rsidP="002371ED">
                      <w:pPr>
                        <w:spacing w:before="120"/>
                        <w:ind w:left="108" w:right="383" w:firstLine="28"/>
                        <w:jc w:val="both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Preporučuje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se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da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član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om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23.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ažuriranog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Nacrta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zakona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utvrdi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rok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kojem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je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Komisij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a</w:t>
                      </w:r>
                      <w:r w:rsidR="00215062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za</w:t>
                      </w:r>
                      <w:r w:rsidR="00215062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reviziju</w:t>
                      </w:r>
                      <w:r w:rsidR="00215062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dužna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odgovori</w:t>
                      </w:r>
                      <w:r w:rsidR="008A23D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na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pritužbe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vezi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tačnosti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JBS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Osim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toga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da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bi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se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obezbedilo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blagovremeno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rešavanje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t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akvih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pritužbi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trebalo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bi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razmotriti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uvođenje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posebnih</w:t>
                      </w:r>
                      <w:r w:rsidR="00C031CC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hitnih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rokova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u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čl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.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21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.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i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23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.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ažuriranog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Nacrta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zakona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za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MDULS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i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K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omisiju</w:t>
                      </w:r>
                      <w:r w:rsidR="00044173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za</w:t>
                      </w:r>
                      <w:r w:rsidR="00044173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reviziju</w:t>
                      </w:r>
                      <w:r w:rsidR="00750CC0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,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za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rešavanje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pritužbi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tokom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izbornog</w:t>
                      </w:r>
                      <w:r w:rsidR="002371ED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perioda</w:t>
                      </w:r>
                      <w:r w:rsidR="002371ED" w:rsidRPr="002371ED"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AB23D2" w14:textId="77777777" w:rsidR="00843802" w:rsidRPr="00215062" w:rsidRDefault="00843802">
      <w:pPr>
        <w:pStyle w:val="BodyText"/>
        <w:spacing w:before="1"/>
        <w:ind w:left="0"/>
        <w:rPr>
          <w:lang w:val="sr-Latn-RS"/>
        </w:rPr>
      </w:pPr>
    </w:p>
    <w:p w14:paraId="3284E63B" w14:textId="1CF34D10" w:rsidR="00AA7F80" w:rsidRPr="00A54F50" w:rsidRDefault="006E6361" w:rsidP="00AA7F80">
      <w:pPr>
        <w:pStyle w:val="ListParagraph"/>
        <w:numPr>
          <w:ilvl w:val="0"/>
          <w:numId w:val="9"/>
        </w:numPr>
        <w:tabs>
          <w:tab w:val="left" w:pos="1427"/>
        </w:tabs>
        <w:spacing w:before="121"/>
        <w:ind w:right="704"/>
        <w:rPr>
          <w:sz w:val="24"/>
          <w:lang w:val="sr-Cyrl-RS"/>
        </w:rPr>
      </w:pPr>
      <w:r>
        <w:rPr>
          <w:sz w:val="24"/>
          <w:lang w:val="sr-Cyrl-RS"/>
        </w:rPr>
        <w:t>U</w:t>
      </w:r>
      <w:r w:rsidR="00C031C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marta</w:t>
      </w:r>
      <w:r w:rsidR="00AA7F80" w:rsidRPr="00A54F50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godine</w:t>
      </w:r>
      <w:r w:rsidR="00C031C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C031C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navodi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C031C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"</w:t>
      </w:r>
      <w:r>
        <w:rPr>
          <w:i/>
          <w:iCs/>
          <w:sz w:val="24"/>
          <w:lang w:val="sr-Cyrl-RS"/>
        </w:rPr>
        <w:t>u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skladu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međunarodnom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dobrom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praksom</w:t>
      </w:r>
      <w:r w:rsidR="00AA7F80" w:rsidRPr="00496C2B">
        <w:rPr>
          <w:i/>
          <w:iCs/>
          <w:sz w:val="24"/>
          <w:lang w:val="sr-Cyrl-RS"/>
        </w:rPr>
        <w:t xml:space="preserve">, </w:t>
      </w:r>
      <w:r>
        <w:rPr>
          <w:i/>
          <w:iCs/>
          <w:sz w:val="24"/>
          <w:lang w:val="sr-Cyrl-RS"/>
        </w:rPr>
        <w:t>preporučuje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da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obim</w:t>
      </w:r>
      <w:r w:rsidR="00C031CC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provere</w:t>
      </w:r>
      <w:r w:rsidR="00C031CC">
        <w:rPr>
          <w:i/>
          <w:iCs/>
          <w:sz w:val="24"/>
          <w:lang w:val="sr-Cyrl-RS"/>
        </w:rPr>
        <w:t xml:space="preserve"> </w:t>
      </w:r>
      <w:r w:rsidR="00C031CC" w:rsidRPr="00496C2B">
        <w:rPr>
          <w:i/>
          <w:iCs/>
          <w:sz w:val="24"/>
          <w:lang w:val="sr-Cyrl-RS"/>
        </w:rPr>
        <w:t>[</w:t>
      </w:r>
      <w:r>
        <w:rPr>
          <w:i/>
          <w:iCs/>
          <w:sz w:val="24"/>
          <w:lang w:val="sr-Cyrl-RS"/>
        </w:rPr>
        <w:t>JBS</w:t>
      </w:r>
      <w:r w:rsidR="00C031CC" w:rsidRPr="00496C2B">
        <w:rPr>
          <w:i/>
          <w:iCs/>
          <w:sz w:val="24"/>
          <w:lang w:val="sr-Cyrl-RS"/>
        </w:rPr>
        <w:t xml:space="preserve">] </w:t>
      </w:r>
      <w:r>
        <w:rPr>
          <w:i/>
          <w:iCs/>
          <w:sz w:val="24"/>
          <w:lang w:val="sr-Cyrl-RS"/>
        </w:rPr>
        <w:t>proširi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uključivanjem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organizacija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civilnog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društva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grupa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građana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koji</w:t>
      </w:r>
      <w:r w:rsidR="00C031CC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posmatraju</w:t>
      </w:r>
      <w:r w:rsidR="00C031CC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izbore</w:t>
      </w:r>
      <w:r w:rsidR="00AA7F80" w:rsidRPr="00496C2B">
        <w:rPr>
          <w:i/>
          <w:iCs/>
          <w:sz w:val="24"/>
          <w:lang w:val="sr-Cyrl-RS"/>
        </w:rPr>
        <w:t xml:space="preserve">. </w:t>
      </w:r>
      <w:r>
        <w:rPr>
          <w:i/>
          <w:iCs/>
          <w:sz w:val="24"/>
          <w:lang w:val="sr-Cyrl-RS"/>
        </w:rPr>
        <w:t>U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slučaju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da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je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ovo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regulisano</w:t>
      </w:r>
      <w:r w:rsidR="00AA7F80" w:rsidRPr="00496C2B">
        <w:rPr>
          <w:i/>
          <w:iCs/>
          <w:sz w:val="24"/>
          <w:lang w:val="sr-Cyrl-RS"/>
        </w:rPr>
        <w:t xml:space="preserve">, </w:t>
      </w:r>
      <w:r>
        <w:rPr>
          <w:i/>
          <w:iCs/>
          <w:sz w:val="24"/>
          <w:lang w:val="sr-Cyrl-RS"/>
        </w:rPr>
        <w:t>zakonom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treba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precizirati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sve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kriterijume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koje</w:t>
      </w:r>
      <w:r w:rsidR="00C031CC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bi</w:t>
      </w:r>
      <w:r w:rsidR="00C031CC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takve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organizacije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morale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da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ispune</w:t>
      </w:r>
      <w:r w:rsidR="00AA7F80" w:rsidRPr="00496C2B">
        <w:rPr>
          <w:i/>
          <w:iCs/>
          <w:sz w:val="24"/>
          <w:lang w:val="sr-Cyrl-RS"/>
        </w:rPr>
        <w:t>."</w:t>
      </w:r>
      <w:r w:rsidR="00AA7F80" w:rsidRPr="00A54F50">
        <w:rPr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Ažurirani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Nacrt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zakona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delimično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adresira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ovu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preporuku</w:t>
      </w:r>
      <w:r w:rsidR="00AA7F80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Konkretno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ažurirani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AA7F80" w:rsidRPr="00A54F50">
        <w:rPr>
          <w:sz w:val="24"/>
          <w:lang w:val="sr-Cyrl-RS"/>
        </w:rPr>
        <w:t xml:space="preserve"> 21. </w:t>
      </w:r>
      <w:r>
        <w:rPr>
          <w:sz w:val="24"/>
          <w:lang w:val="sr-Cyrl-RS"/>
        </w:rPr>
        <w:t>ZJBS</w:t>
      </w:r>
      <w:r w:rsidR="00AA7F80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član</w:t>
      </w:r>
      <w:r w:rsidR="00AA7F80" w:rsidRPr="00A54F50">
        <w:rPr>
          <w:sz w:val="24"/>
          <w:lang w:val="sr-Cyrl-RS"/>
        </w:rPr>
        <w:t xml:space="preserve"> 3. </w:t>
      </w:r>
      <w:r>
        <w:rPr>
          <w:sz w:val="24"/>
          <w:lang w:val="sr-Cyrl-RS"/>
        </w:rPr>
        <w:t>u</w:t>
      </w:r>
      <w:r w:rsidR="00C031C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sadrži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treći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stav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domaćim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udruženjima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33356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3356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dobila</w:t>
      </w:r>
      <w:r w:rsidR="0033356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ovlašćenje</w:t>
      </w:r>
      <w:r w:rsidR="0033356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3356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praćenje</w:t>
      </w:r>
      <w:r w:rsidR="0033356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svim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biračima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spisku</w:t>
      </w:r>
      <w:r w:rsidR="00AA7F80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osim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jedinstvenog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matičnog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broja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građana</w:t>
      </w:r>
      <w:r w:rsidR="00AA7F80" w:rsidRPr="00A54F50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putem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posebnog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modula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3356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veb</w:t>
      </w:r>
      <w:r w:rsidR="00333569">
        <w:rPr>
          <w:sz w:val="24"/>
          <w:lang w:val="sr-Cyrl-RS"/>
        </w:rPr>
        <w:t>-</w:t>
      </w:r>
      <w:r>
        <w:rPr>
          <w:sz w:val="24"/>
          <w:lang w:val="sr-Cyrl-RS"/>
        </w:rPr>
        <w:t>prezentaciji</w:t>
      </w:r>
      <w:r w:rsidR="0033356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ministarstva</w:t>
      </w:r>
      <w:r w:rsidR="0033356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nadležnog</w:t>
      </w:r>
      <w:r w:rsidR="0033356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3356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poslove</w:t>
      </w:r>
      <w:r w:rsidR="0033356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javne</w:t>
      </w:r>
      <w:r w:rsidR="00784B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uprave</w:t>
      </w:r>
      <w:r w:rsidR="00AA7F80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suštini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posmatračkim</w:t>
      </w:r>
      <w:r w:rsidR="00784B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organizacijama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predlagačima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lista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bilo</w:t>
      </w:r>
      <w:r w:rsidR="00784B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dato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prethodnom</w:t>
      </w:r>
      <w:r w:rsidR="00AA7F80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ažuriranom</w:t>
      </w:r>
      <w:r w:rsidR="00AA7F80" w:rsidRPr="00A54F50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verzijom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uključujući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obavezu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potpišu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pisanu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izjavu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poverljivosti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potvrđuje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lice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postupati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koristiti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podatke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isključivo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svrhu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ostvarivanja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svojih</w:t>
      </w:r>
      <w:r w:rsidR="00784B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ZJBS</w:t>
      </w:r>
      <w:r w:rsidR="00AA7F80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Kriterijum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organizacije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mogle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akreditaciju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posmatranje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predstojećih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izbora</w:t>
      </w:r>
      <w:r w:rsidR="00AA7F80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što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zahteva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ispunjenje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određenih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objektivnih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kriterijuma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propisanih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uređuju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izbori</w:t>
      </w:r>
      <w:r w:rsidR="00AA7F80" w:rsidRPr="00A54F50">
        <w:rPr>
          <w:sz w:val="24"/>
          <w:lang w:val="sr-Cyrl-RS"/>
        </w:rPr>
        <w:t xml:space="preserve">). </w:t>
      </w:r>
      <w:r>
        <w:rPr>
          <w:b/>
          <w:bCs/>
          <w:i/>
          <w:iCs/>
          <w:sz w:val="24"/>
          <w:lang w:val="sr-Cyrl-RS"/>
        </w:rPr>
        <w:t>Preporučuje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precizira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li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organizacije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civilnog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društva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koje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nisu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neposredno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uključene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izborne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aktivnosti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između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izbornih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ciklusa</w:t>
      </w:r>
      <w:r w:rsidR="00AA7F80" w:rsidRPr="00496C2B">
        <w:rPr>
          <w:b/>
          <w:bCs/>
          <w:i/>
          <w:iCs/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ali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traže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ovlašćenje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od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RIK</w:t>
      </w:r>
      <w:r w:rsidR="00AA7F80" w:rsidRPr="00496C2B">
        <w:rPr>
          <w:b/>
          <w:bCs/>
          <w:i/>
          <w:iCs/>
          <w:sz w:val="24"/>
          <w:lang w:val="sr-Cyrl-RS"/>
        </w:rPr>
        <w:t>-</w:t>
      </w:r>
      <w:r>
        <w:rPr>
          <w:b/>
          <w:bCs/>
          <w:i/>
          <w:iCs/>
          <w:sz w:val="24"/>
          <w:lang w:val="sr-Cyrl-RS"/>
        </w:rPr>
        <w:t>a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posmatranje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izbora</w:t>
      </w:r>
      <w:r w:rsidR="00AA7F80" w:rsidRPr="00496C2B">
        <w:rPr>
          <w:b/>
          <w:bCs/>
          <w:i/>
          <w:iCs/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imaju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pravo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na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pristup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podacima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biračkom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spisku</w:t>
      </w:r>
      <w:r w:rsidR="00AA7F80" w:rsidRPr="00A54F50">
        <w:rPr>
          <w:sz w:val="24"/>
          <w:lang w:val="sr-Cyrl-RS"/>
        </w:rPr>
        <w:t>.</w:t>
      </w:r>
    </w:p>
    <w:p w14:paraId="3A452BE5" w14:textId="5EE0D9CF" w:rsidR="00843802" w:rsidRPr="00A54F50" w:rsidRDefault="006E6361" w:rsidP="00AA7F80">
      <w:pPr>
        <w:pStyle w:val="ListParagraph"/>
        <w:numPr>
          <w:ilvl w:val="0"/>
          <w:numId w:val="9"/>
        </w:numPr>
        <w:tabs>
          <w:tab w:val="left" w:pos="1427"/>
        </w:tabs>
        <w:spacing w:before="121"/>
        <w:ind w:right="704"/>
        <w:rPr>
          <w:b/>
          <w:sz w:val="24"/>
          <w:lang w:val="sr-Cyrl-RS"/>
        </w:rPr>
      </w:pPr>
      <w:r>
        <w:rPr>
          <w:sz w:val="24"/>
          <w:lang w:val="sr-Cyrl-RS"/>
        </w:rPr>
        <w:t>Dalje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marta</w:t>
      </w:r>
      <w:r w:rsidR="00AA7F80" w:rsidRPr="00A54F50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godine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navodi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„</w:t>
      </w:r>
      <w:r>
        <w:rPr>
          <w:i/>
          <w:iCs/>
          <w:sz w:val="24"/>
          <w:lang w:val="sr-Cyrl-RS"/>
        </w:rPr>
        <w:t>Da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bi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dodatno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ojačala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zaštita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podataka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ličnosti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sprečilo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neovlašćeno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korišćenje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podataka</w:t>
      </w:r>
      <w:r w:rsidR="00AA7F80" w:rsidRPr="00496C2B">
        <w:rPr>
          <w:i/>
          <w:iCs/>
          <w:sz w:val="24"/>
          <w:lang w:val="sr-Cyrl-RS"/>
        </w:rPr>
        <w:t xml:space="preserve"> [</w:t>
      </w:r>
      <w:r>
        <w:rPr>
          <w:i/>
          <w:iCs/>
          <w:sz w:val="24"/>
          <w:lang w:val="sr-Cyrl-RS"/>
        </w:rPr>
        <w:t>birača</w:t>
      </w:r>
      <w:r w:rsidR="00AA7F80" w:rsidRPr="00496C2B">
        <w:rPr>
          <w:i/>
          <w:iCs/>
          <w:sz w:val="24"/>
          <w:lang w:val="sr-Cyrl-RS"/>
        </w:rPr>
        <w:t xml:space="preserve">], </w:t>
      </w:r>
      <w:r>
        <w:rPr>
          <w:i/>
          <w:iCs/>
          <w:sz w:val="24"/>
          <w:lang w:val="sr-Cyrl-RS"/>
        </w:rPr>
        <w:t>moglo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bi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razmotriti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proširenje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predloženog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novog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poglavlja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zaštiti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podataka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ličnosti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dodavanjem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izričitih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odredbi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kojima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bi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se</w:t>
      </w:r>
      <w:r w:rsidR="00784BD7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otklonile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nejasnoće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u</w:t>
      </w:r>
      <w:r w:rsidR="00784BD7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pogledu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usaglašenosti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Nacrta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zakona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zakonima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zaštiti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podataka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ličnosti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taj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način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omogućile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bolje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razumevanje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prava</w:t>
      </w:r>
      <w:r w:rsidR="00784BD7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</w:t>
      </w:r>
      <w:r w:rsidR="00784BD7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obaveza</w:t>
      </w:r>
      <w:r w:rsidR="00784BD7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različitih</w:t>
      </w:r>
      <w:r w:rsidR="00A80CB1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aktera</w:t>
      </w:r>
      <w:r w:rsidR="00A80CB1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koji</w:t>
      </w:r>
      <w:r w:rsidR="00A80CB1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pristupaju</w:t>
      </w:r>
      <w:r w:rsidR="00A80CB1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podacima</w:t>
      </w:r>
      <w:r w:rsidR="00A80CB1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</w:t>
      </w:r>
      <w:r w:rsidR="00A80CB1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upisu</w:t>
      </w:r>
      <w:r w:rsidR="00A80CB1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birača</w:t>
      </w:r>
      <w:r w:rsidR="00A80CB1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</w:t>
      </w:r>
      <w:r w:rsidR="00A80CB1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pregledaju</w:t>
      </w:r>
      <w:r w:rsidR="00A80CB1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ih</w:t>
      </w:r>
      <w:r w:rsidR="00A80CB1">
        <w:rPr>
          <w:i/>
          <w:iCs/>
          <w:sz w:val="24"/>
          <w:lang w:val="sr-Cyrl-RS"/>
        </w:rPr>
        <w:t>.“</w:t>
      </w:r>
      <w:r w:rsidR="00784BD7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Ova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preporuka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nije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adresirana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ažuriranom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Nacrtu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zakona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koji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ne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sadrži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nikakve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dodatne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odredbe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vezi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sa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zaštitom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podataka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ličnosti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osim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onoga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što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je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bilo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uključeno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prethodnu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verziju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predloženih</w:t>
      </w:r>
      <w:r w:rsidR="00A80CB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izmena</w:t>
      </w:r>
      <w:r w:rsidR="00AA7F80" w:rsidRPr="00A54F50">
        <w:rPr>
          <w:sz w:val="24"/>
          <w:lang w:val="sr-Cyrl-RS"/>
        </w:rPr>
        <w:t>.</w:t>
      </w:r>
    </w:p>
    <w:p w14:paraId="259AA666" w14:textId="77777777" w:rsidR="00843802" w:rsidRDefault="00843802">
      <w:pPr>
        <w:pStyle w:val="ListParagraph"/>
        <w:rPr>
          <w:b/>
          <w:sz w:val="24"/>
          <w:lang w:val="sr-Cyrl-RS"/>
        </w:rPr>
      </w:pPr>
    </w:p>
    <w:p w14:paraId="2A956334" w14:textId="09610222" w:rsidR="00A80CB1" w:rsidRPr="00A80CB1" w:rsidRDefault="006E6361" w:rsidP="00A80CB1">
      <w:pPr>
        <w:pStyle w:val="Heading1"/>
        <w:numPr>
          <w:ilvl w:val="0"/>
          <w:numId w:val="8"/>
        </w:numPr>
        <w:tabs>
          <w:tab w:val="left" w:pos="1123"/>
          <w:tab w:val="left" w:pos="1125"/>
        </w:tabs>
        <w:ind w:left="706" w:right="317" w:firstLine="0"/>
        <w:rPr>
          <w:smallCaps/>
          <w:lang w:val="sr-Cyrl-RS"/>
        </w:rPr>
      </w:pPr>
      <w:r>
        <w:rPr>
          <w:smallCaps/>
          <w:color w:val="005595"/>
          <w:lang w:val="sr-Cyrl-RS"/>
        </w:rPr>
        <w:t>Predloženo</w:t>
      </w:r>
      <w:r w:rsidR="00A80CB1" w:rsidRPr="00A80CB1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novo</w:t>
      </w:r>
      <w:r w:rsidR="00A80CB1" w:rsidRPr="00A80CB1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Poglavlje</w:t>
      </w:r>
      <w:r w:rsidR="00A80CB1" w:rsidRPr="00A80CB1">
        <w:rPr>
          <w:smallCaps/>
          <w:color w:val="005595"/>
          <w:lang w:val="sr-Cyrl-RS"/>
        </w:rPr>
        <w:t>/</w:t>
      </w:r>
      <w:r>
        <w:rPr>
          <w:smallCaps/>
          <w:color w:val="005595"/>
          <w:lang w:val="sr-Cyrl-RS"/>
        </w:rPr>
        <w:t>članovi</w:t>
      </w:r>
      <w:r w:rsidR="00A80CB1" w:rsidRPr="00A80CB1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Zakona</w:t>
      </w:r>
      <w:r w:rsidR="00A80CB1" w:rsidRPr="00A80CB1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o</w:t>
      </w:r>
      <w:r w:rsidR="00A80CB1" w:rsidRPr="00A80CB1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jedinstvenom</w:t>
      </w:r>
      <w:r w:rsidR="00A80CB1" w:rsidRPr="00A80CB1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biračkom</w:t>
      </w:r>
      <w:r w:rsidR="00A80CB1" w:rsidRPr="00A80CB1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spisku</w:t>
      </w:r>
      <w:r w:rsidR="00A80CB1" w:rsidRPr="00A80CB1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u</w:t>
      </w:r>
      <w:r w:rsidR="00A80CB1" w:rsidRPr="00A80CB1">
        <w:rPr>
          <w:smallCaps/>
          <w:color w:val="005595"/>
          <w:lang w:val="sr-Cyrl-RS"/>
        </w:rPr>
        <w:t xml:space="preserve"> </w:t>
      </w:r>
    </w:p>
    <w:p w14:paraId="6DE5986B" w14:textId="7C229D09" w:rsidR="00A80CB1" w:rsidRPr="00A80CB1" w:rsidRDefault="00A80CB1" w:rsidP="00A80CB1">
      <w:pPr>
        <w:pStyle w:val="Heading1"/>
        <w:tabs>
          <w:tab w:val="left" w:pos="1123"/>
          <w:tab w:val="left" w:pos="1125"/>
        </w:tabs>
        <w:ind w:left="706" w:right="317" w:firstLine="0"/>
        <w:rPr>
          <w:smallCaps/>
          <w:lang w:val="sr-Cyrl-RS"/>
        </w:rPr>
      </w:pPr>
      <w:r>
        <w:rPr>
          <w:smallCaps/>
          <w:color w:val="005595"/>
          <w:lang w:val="sr-Cyrl-RS"/>
        </w:rPr>
        <w:t xml:space="preserve">         </w:t>
      </w:r>
      <w:r w:rsidR="006E6361">
        <w:rPr>
          <w:smallCaps/>
          <w:color w:val="005595"/>
          <w:lang w:val="sr-Cyrl-RS"/>
        </w:rPr>
        <w:t>vezi</w:t>
      </w:r>
      <w:r w:rsidRPr="00A80CB1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sa</w:t>
      </w:r>
      <w:r w:rsidRPr="00A80CB1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revizijom</w:t>
      </w:r>
      <w:r w:rsidRPr="00A80CB1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i</w:t>
      </w:r>
      <w:r w:rsidRPr="00A80CB1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vođenjem</w:t>
      </w:r>
      <w:r w:rsidR="00323DF4">
        <w:rPr>
          <w:smallCaps/>
          <w:color w:val="005595"/>
          <w:lang w:val="sr-Cyrl-RS"/>
        </w:rPr>
        <w:t xml:space="preserve"> </w:t>
      </w:r>
      <w:r w:rsidR="006E6361">
        <w:rPr>
          <w:smallCaps/>
          <w:color w:val="005595"/>
          <w:lang w:val="sr-Cyrl-RS"/>
        </w:rPr>
        <w:t>JBS</w:t>
      </w:r>
    </w:p>
    <w:p w14:paraId="719D0169" w14:textId="3460F8B9" w:rsidR="00843802" w:rsidRPr="00A54F50" w:rsidRDefault="00843802" w:rsidP="00323DF4">
      <w:pPr>
        <w:pStyle w:val="Heading1"/>
        <w:tabs>
          <w:tab w:val="left" w:pos="1314"/>
          <w:tab w:val="left" w:pos="1427"/>
        </w:tabs>
        <w:ind w:firstLine="0"/>
        <w:rPr>
          <w:color w:val="005595"/>
          <w:lang w:val="sr-Cyrl-RS"/>
        </w:rPr>
      </w:pPr>
    </w:p>
    <w:p w14:paraId="6F9B5CFA" w14:textId="67DC9B7E" w:rsidR="00AA7F80" w:rsidRPr="00496C2B" w:rsidRDefault="006E6361" w:rsidP="00AA7F80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4"/>
        <w:rPr>
          <w:b/>
          <w:bCs/>
          <w:sz w:val="24"/>
          <w:lang w:val="sr-Cyrl-RS"/>
        </w:rPr>
      </w:pP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predloženim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novim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poglavljem</w:t>
      </w:r>
      <w:r w:rsidR="00AA7F80" w:rsidRPr="00A54F50">
        <w:rPr>
          <w:sz w:val="24"/>
          <w:lang w:val="sr-Cyrl-RS"/>
        </w:rPr>
        <w:t>/</w:t>
      </w:r>
      <w:r>
        <w:rPr>
          <w:sz w:val="24"/>
          <w:lang w:val="sr-Cyrl-RS"/>
        </w:rPr>
        <w:t>članovima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ZJBS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23D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323D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323D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vođenjem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marta</w:t>
      </w:r>
      <w:r w:rsidR="00AA7F80" w:rsidRPr="00A54F50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dato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nekoliko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AA7F80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Prvo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radi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jasnoće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preporučuje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lastRenderedPageBreak/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 w:rsidR="00AA7F80" w:rsidRPr="00496C2B">
        <w:rPr>
          <w:i/>
          <w:iCs/>
          <w:sz w:val="24"/>
          <w:lang w:val="sr-Cyrl-RS"/>
        </w:rPr>
        <w:t>„</w:t>
      </w:r>
      <w:r>
        <w:rPr>
          <w:i/>
          <w:iCs/>
          <w:sz w:val="24"/>
          <w:lang w:val="sr-Cyrl-RS"/>
        </w:rPr>
        <w:t>ili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predloži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novo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poglavlje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reviziji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u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ZJBS</w:t>
      </w:r>
      <w:r w:rsidR="00AA7F80" w:rsidRPr="00496C2B">
        <w:rPr>
          <w:i/>
          <w:iCs/>
          <w:sz w:val="24"/>
          <w:lang w:val="sr-Cyrl-RS"/>
        </w:rPr>
        <w:t>-</w:t>
      </w:r>
      <w:r>
        <w:rPr>
          <w:i/>
          <w:iCs/>
          <w:sz w:val="24"/>
          <w:lang w:val="sr-Cyrl-RS"/>
        </w:rPr>
        <w:t>u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ili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naznači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gde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će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predloženi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članovi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biti</w:t>
      </w:r>
      <w:r w:rsidR="00CC13E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umetnuti</w:t>
      </w:r>
      <w:r w:rsidR="00CC13E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da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redosled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numerisanje</w:t>
      </w:r>
      <w:r w:rsidR="00CC13E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predloženih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članova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procesu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revizije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pregledaju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</w:t>
      </w:r>
      <w:r w:rsidR="00CC13E8">
        <w:rPr>
          <w:i/>
          <w:iCs/>
          <w:sz w:val="24"/>
          <w:lang w:val="sr-Cyrl-RS"/>
        </w:rPr>
        <w:t xml:space="preserve">, </w:t>
      </w:r>
      <w:r>
        <w:rPr>
          <w:i/>
          <w:iCs/>
          <w:sz w:val="24"/>
          <w:lang w:val="sr-Cyrl-RS"/>
        </w:rPr>
        <w:t>popotrebi</w:t>
      </w:r>
      <w:r w:rsidR="00CC13E8">
        <w:rPr>
          <w:i/>
          <w:iCs/>
          <w:sz w:val="24"/>
          <w:lang w:val="sr-Cyrl-RS"/>
        </w:rPr>
        <w:t>,</w:t>
      </w:r>
      <w:r w:rsidR="00AA7F80" w:rsidRPr="00496C2B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restrukturiraju</w:t>
      </w:r>
      <w:r w:rsidR="00496C2B">
        <w:rPr>
          <w:sz w:val="24"/>
          <w:lang w:val="sr-Cyrl-RS"/>
        </w:rPr>
        <w:t>“</w:t>
      </w:r>
      <w:r w:rsidR="00AA7F80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Ova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proizilazi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činjenice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nejasno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ZJBS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ubačen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tekst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AA7F80" w:rsidRPr="00A54F50">
        <w:rPr>
          <w:sz w:val="24"/>
          <w:lang w:val="sr-Cyrl-RS"/>
        </w:rPr>
        <w:t xml:space="preserve"> 5-24 </w:t>
      </w:r>
      <w:r>
        <w:rPr>
          <w:sz w:val="24"/>
          <w:lang w:val="sr-Cyrl-RS"/>
        </w:rPr>
        <w:t>prethodne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odnosi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vođenje</w:t>
      </w:r>
      <w:r w:rsidR="00CC13E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upravljanje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tačnost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AA7F80" w:rsidRPr="00A54F50">
        <w:rPr>
          <w:sz w:val="24"/>
          <w:lang w:val="sr-Cyrl-RS"/>
        </w:rPr>
        <w:t xml:space="preserve">. </w:t>
      </w:r>
      <w:r>
        <w:rPr>
          <w:b/>
          <w:bCs/>
          <w:sz w:val="24"/>
          <w:lang w:val="sr-Cyrl-RS"/>
        </w:rPr>
        <w:t>Ažurirani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Nacrt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zakona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ne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adresira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ovu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preporuku</w:t>
      </w:r>
      <w:r w:rsidR="00AA7F80" w:rsidRPr="00496C2B">
        <w:rPr>
          <w:b/>
          <w:bCs/>
          <w:sz w:val="24"/>
          <w:lang w:val="sr-Cyrl-RS"/>
        </w:rPr>
        <w:t xml:space="preserve">, </w:t>
      </w:r>
      <w:r>
        <w:rPr>
          <w:b/>
          <w:bCs/>
          <w:sz w:val="24"/>
          <w:lang w:val="sr-Cyrl-RS"/>
        </w:rPr>
        <w:t>jer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i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dalje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ostaje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nejasno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koji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deo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ZJBS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treba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da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se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unesu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članovi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koji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se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odnose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reviziju</w:t>
      </w:r>
      <w:r w:rsidR="00AA7F80" w:rsidRPr="00496C2B">
        <w:rPr>
          <w:b/>
          <w:bCs/>
          <w:sz w:val="24"/>
          <w:lang w:val="sr-Cyrl-RS"/>
        </w:rPr>
        <w:t xml:space="preserve">, </w:t>
      </w:r>
      <w:r>
        <w:rPr>
          <w:b/>
          <w:bCs/>
          <w:sz w:val="24"/>
          <w:lang w:val="sr-Cyrl-RS"/>
        </w:rPr>
        <w:t>vođenje</w:t>
      </w:r>
      <w:r w:rsidR="00AA7F80" w:rsidRPr="00496C2B">
        <w:rPr>
          <w:b/>
          <w:bCs/>
          <w:sz w:val="24"/>
          <w:lang w:val="sr-Cyrl-RS"/>
        </w:rPr>
        <w:t xml:space="preserve">, </w:t>
      </w:r>
      <w:r>
        <w:rPr>
          <w:b/>
          <w:bCs/>
          <w:sz w:val="24"/>
          <w:lang w:val="sr-Cyrl-RS"/>
        </w:rPr>
        <w:t>upravljanje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i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tačnost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JBS</w:t>
      </w:r>
      <w:r w:rsidR="00AA7F80" w:rsidRPr="00496C2B">
        <w:rPr>
          <w:b/>
          <w:bCs/>
          <w:sz w:val="24"/>
          <w:lang w:val="sr-Cyrl-RS"/>
        </w:rPr>
        <w:t xml:space="preserve"> (</w:t>
      </w:r>
      <w:r>
        <w:rPr>
          <w:b/>
          <w:bCs/>
          <w:sz w:val="24"/>
          <w:lang w:val="sr-Cyrl-RS"/>
        </w:rPr>
        <w:t>sada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član</w:t>
      </w:r>
      <w:r w:rsidR="00AA7F80" w:rsidRPr="00496C2B">
        <w:rPr>
          <w:b/>
          <w:bCs/>
          <w:sz w:val="24"/>
          <w:lang w:val="sr-Cyrl-RS"/>
        </w:rPr>
        <w:t xml:space="preserve"> 6-25 </w:t>
      </w:r>
      <w:r>
        <w:rPr>
          <w:b/>
          <w:bCs/>
          <w:sz w:val="24"/>
          <w:lang w:val="sr-Cyrl-RS"/>
        </w:rPr>
        <w:t>prema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ažuriranom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Nacrtu</w:t>
      </w:r>
      <w:r w:rsidR="00AA7F80" w:rsidRPr="00496C2B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zakona</w:t>
      </w:r>
      <w:r w:rsidR="00AA7F80" w:rsidRPr="00496C2B">
        <w:rPr>
          <w:b/>
          <w:bCs/>
          <w:sz w:val="24"/>
          <w:lang w:val="sr-Cyrl-RS"/>
        </w:rPr>
        <w:t>).</w:t>
      </w:r>
    </w:p>
    <w:p w14:paraId="730F18E7" w14:textId="529EA7A9" w:rsidR="00843802" w:rsidRPr="00A54F50" w:rsidRDefault="006E6361" w:rsidP="00AA7F80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4"/>
        <w:rPr>
          <w:sz w:val="24"/>
          <w:lang w:val="sr-Cyrl-RS"/>
        </w:rPr>
      </w:pPr>
      <w:r>
        <w:rPr>
          <w:sz w:val="24"/>
          <w:lang w:val="sr-Cyrl-RS"/>
        </w:rPr>
        <w:t>Isto</w:t>
      </w:r>
      <w:r w:rsidR="00CC13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tako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marta</w:t>
      </w:r>
      <w:r w:rsidR="00AA7F80" w:rsidRPr="00A54F50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kao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ključna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navodi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CC13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AA7F80" w:rsidRPr="00A54F50">
        <w:rPr>
          <w:sz w:val="24"/>
          <w:lang w:val="sr-Cyrl-RS"/>
        </w:rPr>
        <w:t xml:space="preserve"> </w:t>
      </w:r>
      <w:r w:rsidR="00C20558" w:rsidRPr="00C20558">
        <w:rPr>
          <w:sz w:val="24"/>
          <w:lang w:val="sr-Cyrl-RS"/>
        </w:rPr>
        <w:t>„</w:t>
      </w:r>
      <w:r>
        <w:rPr>
          <w:i/>
          <w:color w:val="000000"/>
          <w:sz w:val="24"/>
          <w:lang w:val="sr-Cyrl-RS"/>
        </w:rPr>
        <w:t>trebalo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razmotriti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uspostavljanje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dugoročnih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mera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za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tačnost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JBS</w:t>
      </w:r>
      <w:r w:rsidR="00CC13E8" w:rsidRPr="00C20558">
        <w:rPr>
          <w:i/>
          <w:color w:val="000000"/>
          <w:sz w:val="24"/>
          <w:lang w:val="sr-Cyrl-RS"/>
        </w:rPr>
        <w:t xml:space="preserve">, </w:t>
      </w:r>
      <w:r>
        <w:rPr>
          <w:i/>
          <w:color w:val="000000"/>
          <w:sz w:val="24"/>
          <w:lang w:val="sr-Cyrl-RS"/>
        </w:rPr>
        <w:t>koje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su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ključne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za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održavanje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poverenja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javnosti</w:t>
      </w:r>
      <w:r w:rsidR="00CC13E8" w:rsidRPr="00C20558">
        <w:rPr>
          <w:i/>
          <w:color w:val="000000"/>
          <w:sz w:val="24"/>
          <w:lang w:val="sr-Cyrl-RS"/>
        </w:rPr>
        <w:t xml:space="preserve">. </w:t>
      </w:r>
      <w:r>
        <w:rPr>
          <w:i/>
          <w:color w:val="000000"/>
          <w:sz w:val="24"/>
          <w:lang w:val="sr-Cyrl-RS"/>
        </w:rPr>
        <w:t>U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tom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smislu</w:t>
      </w:r>
      <w:r w:rsidR="00CC13E8" w:rsidRPr="00C20558">
        <w:rPr>
          <w:i/>
          <w:color w:val="000000"/>
          <w:sz w:val="24"/>
          <w:lang w:val="sr-Cyrl-RS"/>
        </w:rPr>
        <w:t xml:space="preserve">, </w:t>
      </w:r>
      <w:r>
        <w:rPr>
          <w:i/>
          <w:color w:val="000000"/>
          <w:sz w:val="24"/>
          <w:lang w:val="sr-Cyrl-RS"/>
        </w:rPr>
        <w:t>može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se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razmotriti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ili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uspostavljanje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stalnog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mehanizma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za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periodičnu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reviziju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JBS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ili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davanje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mandata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Komisiji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za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reviziju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da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sprovodi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periodične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revizije</w:t>
      </w:r>
      <w:r w:rsidR="00CC13E8" w:rsidRPr="00C20558">
        <w:rPr>
          <w:i/>
          <w:color w:val="000000"/>
          <w:sz w:val="24"/>
          <w:lang w:val="sr-Cyrl-RS"/>
        </w:rPr>
        <w:t xml:space="preserve">, </w:t>
      </w:r>
      <w:r>
        <w:rPr>
          <w:i/>
          <w:color w:val="000000"/>
          <w:sz w:val="24"/>
          <w:lang w:val="sr-Cyrl-RS"/>
        </w:rPr>
        <w:t>čija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će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učestalost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i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obim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biti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jasno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definisani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zakonom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i</w:t>
      </w:r>
      <w:r w:rsidR="00CC13E8" w:rsidRPr="00C20558">
        <w:rPr>
          <w:i/>
          <w:color w:val="000000"/>
          <w:sz w:val="24"/>
          <w:lang w:val="sr-Cyrl-RS"/>
        </w:rPr>
        <w:t xml:space="preserve"> </w:t>
      </w:r>
      <w:r>
        <w:rPr>
          <w:i/>
          <w:color w:val="000000"/>
          <w:sz w:val="24"/>
          <w:lang w:val="sr-Cyrl-RS"/>
        </w:rPr>
        <w:t>propisima</w:t>
      </w:r>
      <w:r w:rsidR="00C20558">
        <w:rPr>
          <w:i/>
          <w:color w:val="000000"/>
          <w:sz w:val="24"/>
          <w:lang w:val="sr-Cyrl-RS"/>
        </w:rPr>
        <w:t>.</w:t>
      </w:r>
      <w:r w:rsidR="00C20558">
        <w:rPr>
          <w:sz w:val="24"/>
          <w:lang w:val="sr-Cyrl-RS"/>
        </w:rPr>
        <w:t>“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proizilazi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činjenice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prethodnoj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jednokratna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treba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sprovede</w:t>
      </w:r>
      <w:r w:rsidR="00AA7F80" w:rsidRPr="00A54F50">
        <w:rPr>
          <w:sz w:val="24"/>
          <w:lang w:val="sr-Cyrl-RS"/>
        </w:rPr>
        <w:t xml:space="preserve"> </w:t>
      </w:r>
      <w:r w:rsidR="00C20558" w:rsidRPr="003261CB">
        <w:rPr>
          <w:i/>
          <w:iCs/>
        </w:rPr>
        <w:t>ad hoc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privremena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komisija</w:t>
      </w:r>
      <w:r w:rsidR="00AA7F80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Komisija</w:t>
      </w:r>
      <w:r w:rsidR="00C2055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C2055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>).</w:t>
      </w:r>
      <w:r w:rsidR="00496C2B">
        <w:rPr>
          <w:rStyle w:val="FootnoteReference"/>
          <w:sz w:val="24"/>
          <w:lang w:val="sr-Cyrl-RS"/>
        </w:rPr>
        <w:footnoteReference w:id="8"/>
      </w:r>
      <w:r w:rsidR="00AA7F80" w:rsidRPr="00A54F50">
        <w:rPr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Članom</w:t>
      </w:r>
      <w:r w:rsidR="00F056F1" w:rsidRPr="00F056F1">
        <w:rPr>
          <w:b/>
          <w:bCs/>
          <w:sz w:val="24"/>
          <w:lang w:val="sr-Cyrl-RS"/>
        </w:rPr>
        <w:t xml:space="preserve"> 4. </w:t>
      </w:r>
      <w:r>
        <w:rPr>
          <w:b/>
          <w:bCs/>
          <w:sz w:val="24"/>
          <w:lang w:val="sr-Cyrl-RS"/>
        </w:rPr>
        <w:t>ažuriranog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Nacrta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zakona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uvode</w:t>
      </w:r>
      <w:r w:rsidR="00C2055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se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dugoročne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mere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vezane</w:t>
      </w:r>
      <w:r w:rsidR="00C2055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</w:t>
      </w:r>
      <w:r w:rsidR="00C2055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tačnost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JBS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tako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što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se</w:t>
      </w:r>
      <w:r w:rsidR="00C2055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RIK</w:t>
      </w:r>
      <w:r w:rsidR="00F056F1" w:rsidRPr="00F056F1">
        <w:rPr>
          <w:b/>
          <w:bCs/>
          <w:sz w:val="24"/>
          <w:lang w:val="sr-Cyrl-RS"/>
        </w:rPr>
        <w:t>-</w:t>
      </w:r>
      <w:r>
        <w:rPr>
          <w:b/>
          <w:bCs/>
          <w:sz w:val="24"/>
          <w:lang w:val="sr-Cyrl-RS"/>
        </w:rPr>
        <w:t>u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poverava</w:t>
      </w:r>
      <w:r w:rsidR="00C2055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mandat</w:t>
      </w:r>
      <w:r w:rsidR="00C2055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da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vrši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reviziju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JBS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nakon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što</w:t>
      </w:r>
      <w:r w:rsidR="00C2055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prvu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reviziju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sprovede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Komisija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reviziju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skladu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sa</w:t>
      </w:r>
      <w:r w:rsidR="00F056F1" w:rsidRPr="00F056F1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članom</w:t>
      </w:r>
      <w:r w:rsidR="00F056F1" w:rsidRPr="00F056F1">
        <w:rPr>
          <w:b/>
          <w:bCs/>
          <w:sz w:val="24"/>
          <w:lang w:val="sr-Cyrl-RS"/>
        </w:rPr>
        <w:t xml:space="preserve"> 6.</w:t>
      </w:r>
      <w:r w:rsidR="00F056F1">
        <w:rPr>
          <w:rStyle w:val="FootnoteReference"/>
          <w:b/>
          <w:bCs/>
          <w:sz w:val="24"/>
          <w:lang w:val="sr-Cyrl-RS"/>
        </w:rPr>
        <w:footnoteReference w:id="9"/>
      </w:r>
      <w:r w:rsidR="00F056F1" w:rsidRPr="00F056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Međutim</w:t>
      </w:r>
      <w:r w:rsidR="00F056F1" w:rsidRPr="00F056F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gore</w:t>
      </w:r>
      <w:r w:rsidR="00F056F1" w:rsidRPr="00F056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navedenom</w:t>
      </w:r>
      <w:r w:rsidR="00F056F1" w:rsidRPr="00F056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preporukom</w:t>
      </w:r>
      <w:r w:rsidR="00F056F1" w:rsidRPr="00F056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C11E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tražilo</w:t>
      </w:r>
      <w:r w:rsidR="00F056F1" w:rsidRPr="00F056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uvođenje</w:t>
      </w:r>
      <w:r w:rsidR="00F056F1" w:rsidRPr="00F056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dugoročnih</w:t>
      </w:r>
      <w:r w:rsidR="00F056F1" w:rsidRPr="00F056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mera</w:t>
      </w:r>
      <w:r w:rsidR="00F056F1" w:rsidRPr="00F056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vezanih</w:t>
      </w:r>
      <w:r w:rsidR="00C11E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C11E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tačnost</w:t>
      </w:r>
      <w:r w:rsidR="00F056F1" w:rsidRPr="00F056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F056F1" w:rsidRPr="00F056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F056F1" w:rsidRPr="00F056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vidu</w:t>
      </w:r>
      <w:r w:rsidR="00F056F1" w:rsidRPr="00F056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trajnog</w:t>
      </w:r>
      <w:r w:rsidR="00F056F1" w:rsidRPr="00F056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ili</w:t>
      </w:r>
      <w:r w:rsidR="00F056F1" w:rsidRPr="00F056F1">
        <w:rPr>
          <w:sz w:val="24"/>
          <w:lang w:val="sr-Cyrl-RS"/>
        </w:rPr>
        <w:t xml:space="preserve"> </w:t>
      </w:r>
      <w:r w:rsidR="00C11E44" w:rsidRPr="003261CB">
        <w:rPr>
          <w:i/>
          <w:iCs/>
        </w:rPr>
        <w:t xml:space="preserve">ad hoc </w:t>
      </w:r>
      <w:r>
        <w:rPr>
          <w:sz w:val="24"/>
          <w:lang w:val="sr-Cyrl-RS"/>
        </w:rPr>
        <w:t>mehanizma</w:t>
      </w:r>
      <w:r w:rsidR="00C11E44">
        <w:rPr>
          <w:sz w:val="24"/>
          <w:lang w:val="sr-Cyrl-RS"/>
        </w:rPr>
        <w:t>,</w:t>
      </w:r>
      <w:r w:rsidR="00F056F1" w:rsidRPr="00F056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čime</w:t>
      </w:r>
      <w:r w:rsidR="00C11E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C11E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podsticalo</w:t>
      </w:r>
      <w:r w:rsidR="00F056F1" w:rsidRPr="00F056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korišćenja</w:t>
      </w:r>
      <w:r w:rsidR="00F056F1" w:rsidRPr="00F056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novouspostavljenog</w:t>
      </w:r>
      <w:r w:rsidR="00F056F1" w:rsidRPr="00F056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nezavisnog</w:t>
      </w:r>
      <w:r w:rsidR="00F056F1" w:rsidRPr="00F056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mehanizma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svrhu</w:t>
      </w:r>
      <w:r w:rsidR="00CE5810" w:rsidRPr="00A54F50">
        <w:rPr>
          <w:spacing w:val="-2"/>
          <w:sz w:val="24"/>
          <w:lang w:val="sr-Cyrl-RS"/>
        </w:rPr>
        <w:t>.</w:t>
      </w:r>
      <w:r w:rsidR="00F056F1">
        <w:rPr>
          <w:rStyle w:val="FootnoteReference"/>
          <w:spacing w:val="-2"/>
          <w:sz w:val="24"/>
          <w:lang w:val="sr-Cyrl-RS"/>
        </w:rPr>
        <w:footnoteReference w:id="10"/>
      </w:r>
      <w:r w:rsidR="00F056F1" w:rsidRPr="00A54F50">
        <w:rPr>
          <w:sz w:val="24"/>
          <w:lang w:val="sr-Cyrl-RS"/>
        </w:rPr>
        <w:t xml:space="preserve"> </w:t>
      </w:r>
    </w:p>
    <w:p w14:paraId="253B5320" w14:textId="4BEFC97E" w:rsidR="00843802" w:rsidRPr="00A54F50" w:rsidRDefault="006E6361">
      <w:pPr>
        <w:pStyle w:val="ListParagraph"/>
        <w:numPr>
          <w:ilvl w:val="0"/>
          <w:numId w:val="9"/>
        </w:numPr>
        <w:tabs>
          <w:tab w:val="left" w:pos="1427"/>
        </w:tabs>
        <w:spacing w:before="121"/>
        <w:ind w:right="711"/>
        <w:rPr>
          <w:sz w:val="24"/>
          <w:lang w:val="sr-Cyrl-RS"/>
        </w:rPr>
      </w:pP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prethodnim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izveštajima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AA7F80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navedeno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ograničene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ljudske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finansijske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resurse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što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ometa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njenu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sposobnost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održivo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unapredi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između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perioda</w:t>
      </w:r>
      <w:r w:rsidR="00CE5810" w:rsidRPr="00A54F50">
        <w:rPr>
          <w:sz w:val="24"/>
          <w:lang w:val="sr-Cyrl-RS"/>
        </w:rPr>
        <w:t>.</w:t>
      </w:r>
      <w:r w:rsidR="00F056F1">
        <w:rPr>
          <w:rStyle w:val="FootnoteReference"/>
          <w:sz w:val="24"/>
          <w:lang w:val="sr-Cyrl-RS"/>
        </w:rPr>
        <w:footnoteReference w:id="11"/>
      </w:r>
    </w:p>
    <w:p w14:paraId="20C14FC5" w14:textId="77777777" w:rsidR="00843802" w:rsidRPr="00A54F50" w:rsidRDefault="00843802">
      <w:pPr>
        <w:pStyle w:val="BodyText"/>
        <w:spacing w:before="38"/>
        <w:ind w:left="0"/>
        <w:rPr>
          <w:sz w:val="20"/>
          <w:lang w:val="sr-Cyrl-RS"/>
        </w:rPr>
      </w:pPr>
      <w:bookmarkStart w:id="6" w:name="_bookmark7"/>
      <w:bookmarkEnd w:id="6"/>
    </w:p>
    <w:p w14:paraId="331DF46F" w14:textId="2733C82B" w:rsidR="00843802" w:rsidRDefault="00CE5810">
      <w:pPr>
        <w:pStyle w:val="BodyText"/>
        <w:ind w:left="1384"/>
        <w:rPr>
          <w:sz w:val="20"/>
          <w:lang w:val="sr-Cyrl-RS"/>
        </w:rPr>
      </w:pPr>
      <w:r w:rsidRPr="00A54F50">
        <w:rPr>
          <w:noProof/>
          <w:sz w:val="20"/>
        </w:rPr>
        <mc:AlternateContent>
          <mc:Choice Requires="wps">
            <w:drawing>
              <wp:inline distT="0" distB="0" distL="0" distR="0" wp14:anchorId="6000A0A4" wp14:editId="3A459D38">
                <wp:extent cx="5524500" cy="1900237"/>
                <wp:effectExtent l="0" t="0" r="19050" b="24130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1900237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4A7C91" w14:textId="261A10A2" w:rsidR="0083614B" w:rsidRPr="00AA7F80" w:rsidRDefault="006E6361" w:rsidP="0083614B">
                            <w:pPr>
                              <w:spacing w:before="120"/>
                              <w:ind w:left="105" w:right="383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PREPORUKA</w:t>
                            </w:r>
                            <w:r w:rsidR="0083614B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</w:t>
                            </w:r>
                          </w:p>
                          <w:p w14:paraId="77719291" w14:textId="079FF895" w:rsidR="00843802" w:rsidRPr="007C0B51" w:rsidRDefault="006E6361" w:rsidP="0083614B">
                            <w:pPr>
                              <w:spacing w:before="120"/>
                              <w:ind w:left="105" w:right="383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cilju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rešavanja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zabrinutosti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oko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tačnosti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biračkih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spiskova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povećanja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poverenja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javnosti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,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bilo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bi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dobro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preispita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predlog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Nacrta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zakona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RIK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poveri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odgovornost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za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vršenje</w:t>
                            </w:r>
                            <w:r w:rsidR="000E153F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revizije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JBS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razmotri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poveravanje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mandata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stalnom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ili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 w:rsidR="007C0B51" w:rsidRPr="007C0B51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ad hoc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nezavisnom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telu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kao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što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je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Komisija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za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reviziju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vrši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redovne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periodične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revizije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JBS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Ako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zadrži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odluka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ovaj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zadatak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poveri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RIK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="0083614B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preporučuje</w:t>
                            </w:r>
                            <w:r w:rsidR="00AA7F80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="007C0B51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="00AA7F80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="00AA7F80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obezbede</w:t>
                            </w:r>
                            <w:r w:rsidR="00AA7F80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dovoljni</w:t>
                            </w:r>
                            <w:r w:rsidR="00AA7F80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ljudski</w:t>
                            </w:r>
                            <w:r w:rsidR="00AA7F80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="00AA7F80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finansijski</w:t>
                            </w:r>
                            <w:r w:rsidR="00AA7F80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resursi</w:t>
                            </w:r>
                            <w:r w:rsidR="00AA7F80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kao</w:t>
                            </w:r>
                            <w:r w:rsidR="00AA7F80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="00AA7F80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dodatne</w:t>
                            </w:r>
                            <w:r w:rsidR="00AA7F80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garancije</w:t>
                            </w:r>
                            <w:r w:rsidR="00AA7F80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nepristrasnosti</w:t>
                            </w:r>
                            <w:r w:rsidR="00AA7F80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revizije</w:t>
                            </w:r>
                            <w:r w:rsidR="00AA7F80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00A0A4" id="Textbox 51" o:spid="_x0000_s1028" type="#_x0000_t202" style="width:435pt;height:1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" fillcolor="#ebf3fd" strokecolor="#005595" strokeweight=".08431mm">
                <v:path arrowok="t"/>
                <v:textbox inset="0,0,0,0">
                  <w:txbxContent>
                    <w:p w14:paraId="494A7C91" w14:textId="261A10A2" w:rsidR="0083614B" w:rsidRPr="00AA7F80" w:rsidRDefault="006E6361" w:rsidP="0083614B">
                      <w:pPr>
                        <w:spacing w:before="120"/>
                        <w:ind w:left="105" w:right="383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PREPORUKA</w:t>
                      </w:r>
                      <w:r w:rsidR="0083614B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</w:t>
                      </w:r>
                    </w:p>
                    <w:p w14:paraId="77719291" w14:textId="079FF895" w:rsidR="00843802" w:rsidRPr="007C0B51" w:rsidRDefault="006E6361" w:rsidP="0083614B">
                      <w:pPr>
                        <w:spacing w:before="120"/>
                        <w:ind w:left="105" w:right="383"/>
                        <w:jc w:val="both"/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</w:pP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cilju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rešavanja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zabrinutosti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oko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tačnosti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biračkih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spiskova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povećanja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poverenja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javnosti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,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bilo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bi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dobro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preispita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predlog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Nacrta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zakona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RIK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-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poveri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odgovornost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za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vršenje</w:t>
                      </w:r>
                      <w:r w:rsidR="000E153F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revizije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JBS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razmotri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poveravanje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mandata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stalnom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ili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 w:rsidR="007C0B51" w:rsidRPr="007C0B51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ad hoc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nezavisnom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telu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kao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što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je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Komisija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za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reviziju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vrši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redovne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periodične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revizije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JBS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.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Ako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zadrži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odluka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ovaj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zadatak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poveri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RIK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-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="0083614B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preporučuje</w:t>
                      </w:r>
                      <w:r w:rsidR="00AA7F80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="007C0B51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="00AA7F80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="00AA7F80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obezbede</w:t>
                      </w:r>
                      <w:r w:rsidR="00AA7F80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dovoljni</w:t>
                      </w:r>
                      <w:r w:rsidR="00AA7F80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ljudski</w:t>
                      </w:r>
                      <w:r w:rsidR="00AA7F80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="00AA7F80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finansijski</w:t>
                      </w:r>
                      <w:r w:rsidR="00AA7F80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resursi</w:t>
                      </w:r>
                      <w:r w:rsidR="00AA7F80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kao</w:t>
                      </w:r>
                      <w:r w:rsidR="00AA7F80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="00AA7F80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dodatne</w:t>
                      </w:r>
                      <w:r w:rsidR="00AA7F80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garancije</w:t>
                      </w:r>
                      <w:r w:rsidR="00AA7F80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nepristrasnosti</w:t>
                      </w:r>
                      <w:r w:rsidR="00AA7F80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revizije</w:t>
                      </w:r>
                      <w:r w:rsidR="00AA7F80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92DFC2" w14:textId="059EC98E" w:rsidR="0083614B" w:rsidRDefault="0083614B">
      <w:pPr>
        <w:pStyle w:val="BodyText"/>
        <w:ind w:left="1384"/>
        <w:rPr>
          <w:sz w:val="20"/>
          <w:lang w:val="sr-Cyrl-RS"/>
        </w:rPr>
      </w:pPr>
    </w:p>
    <w:p w14:paraId="62F71ACF" w14:textId="47BE283A" w:rsidR="00AA7F80" w:rsidRPr="00A54F50" w:rsidRDefault="00AA7F80" w:rsidP="00AA7F80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8"/>
        <w:rPr>
          <w:b/>
          <w:bCs/>
          <w:sz w:val="24"/>
          <w:szCs w:val="24"/>
          <w:lang w:val="sr-Cyrl-RS"/>
        </w:rPr>
      </w:pP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Uzimajući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u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obzir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gore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navedenu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preporuku</w:t>
      </w:r>
      <w:r w:rsidRPr="00A54F50">
        <w:rPr>
          <w:b/>
          <w:bCs/>
          <w:sz w:val="24"/>
          <w:szCs w:val="24"/>
          <w:lang w:val="sr-Cyrl-RS"/>
        </w:rPr>
        <w:t xml:space="preserve">, </w:t>
      </w:r>
      <w:r w:rsidR="006E6361">
        <w:rPr>
          <w:b/>
          <w:bCs/>
          <w:sz w:val="24"/>
          <w:szCs w:val="24"/>
          <w:lang w:val="sr-Cyrl-RS"/>
        </w:rPr>
        <w:t>ostali</w:t>
      </w:r>
      <w:r w:rsidR="007C0B51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deo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ovog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Mišljenja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ne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treba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ni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na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koji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način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tumačiti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kao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podržavanje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predloga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Nacrta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zakona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da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RIK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bude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odgovoran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za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sprovođenje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revizije</w:t>
      </w:r>
      <w:r w:rsidRPr="00A54F50">
        <w:rPr>
          <w:b/>
          <w:bCs/>
          <w:sz w:val="24"/>
          <w:szCs w:val="24"/>
          <w:lang w:val="sr-Cyrl-RS"/>
        </w:rPr>
        <w:t xml:space="preserve"> </w:t>
      </w:r>
      <w:r w:rsidR="006E6361">
        <w:rPr>
          <w:b/>
          <w:bCs/>
          <w:sz w:val="24"/>
          <w:szCs w:val="24"/>
          <w:lang w:val="sr-Cyrl-RS"/>
        </w:rPr>
        <w:t>JBS</w:t>
      </w:r>
      <w:r w:rsidRPr="00A54F50">
        <w:rPr>
          <w:b/>
          <w:bCs/>
          <w:sz w:val="24"/>
          <w:szCs w:val="24"/>
          <w:lang w:val="sr-Cyrl-RS"/>
        </w:rPr>
        <w:t>.</w:t>
      </w:r>
    </w:p>
    <w:p w14:paraId="219A5444" w14:textId="64053594" w:rsidR="00843802" w:rsidRPr="00D47CF2" w:rsidRDefault="006E6361" w:rsidP="00AA7F80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8"/>
        <w:rPr>
          <w:sz w:val="24"/>
          <w:lang w:val="sr-Cyrl-RS"/>
        </w:rPr>
      </w:pPr>
      <w:r>
        <w:rPr>
          <w:sz w:val="24"/>
          <w:szCs w:val="24"/>
          <w:lang w:val="sr-Cyrl-RS"/>
        </w:rPr>
        <w:lastRenderedPageBreak/>
        <w:t>Napominje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A7F80" w:rsidRPr="00D47CF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iako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A7F80" w:rsidRPr="00D47CF2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ažuriranog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određuje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obuhvat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revizija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sprovodi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RIK</w:t>
      </w:r>
      <w:r w:rsidR="00AA7F80" w:rsidRPr="00D47CF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on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utvrđuje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učestalost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revizija</w:t>
      </w:r>
      <w:r w:rsidR="00AA7F80" w:rsidRPr="00D47CF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E92B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trebalo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92B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E92B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jednostavno</w:t>
      </w:r>
      <w:r w:rsidR="00E92B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prepušteno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regulatornom</w:t>
      </w:r>
      <w:r w:rsidR="00AA7F80" w:rsidRPr="00D47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nivou</w:t>
      </w:r>
      <w:r w:rsidR="00AA7F80" w:rsidRPr="00D47CF2">
        <w:rPr>
          <w:sz w:val="24"/>
          <w:szCs w:val="24"/>
          <w:lang w:val="sr-Cyrl-RS"/>
        </w:rPr>
        <w:t>.</w:t>
      </w:r>
      <w:r w:rsidR="00D47CF2">
        <w:rPr>
          <w:rStyle w:val="FootnoteReference"/>
          <w:sz w:val="24"/>
          <w:szCs w:val="24"/>
          <w:lang w:val="sr-Cyrl-RS"/>
        </w:rPr>
        <w:footnoteReference w:id="12"/>
      </w:r>
      <w:r w:rsidR="00D47CF2" w:rsidRPr="00D47CF2">
        <w:rPr>
          <w:sz w:val="24"/>
          <w:lang w:val="sr-Cyrl-RS"/>
        </w:rPr>
        <w:t xml:space="preserve"> </w:t>
      </w:r>
    </w:p>
    <w:p w14:paraId="389F8687" w14:textId="77777777" w:rsidR="00843802" w:rsidRPr="00A54F50" w:rsidRDefault="00CE5810">
      <w:pPr>
        <w:pStyle w:val="BodyText"/>
        <w:spacing w:before="4"/>
        <w:ind w:left="0"/>
        <w:rPr>
          <w:sz w:val="8"/>
          <w:lang w:val="sr-Cyrl-RS"/>
        </w:rPr>
      </w:pPr>
      <w:r w:rsidRPr="00A54F50">
        <w:rPr>
          <w:noProof/>
          <w:sz w:val="8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8650C1" wp14:editId="1ED4D97A">
                <wp:simplePos x="0" y="0"/>
                <wp:positionH relativeFrom="page">
                  <wp:posOffset>1150619</wp:posOffset>
                </wp:positionH>
                <wp:positionV relativeFrom="paragraph">
                  <wp:posOffset>78695</wp:posOffset>
                </wp:positionV>
                <wp:extent cx="5689600" cy="1003300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0" cy="1003300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9A889C" w14:textId="0BA0C206" w:rsidR="00AA7F80" w:rsidRPr="00AA7F80" w:rsidRDefault="006E6361" w:rsidP="00AA7F80">
                            <w:pPr>
                              <w:spacing w:before="120"/>
                              <w:ind w:left="10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PREPORUKA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</w:t>
                            </w:r>
                          </w:p>
                          <w:p w14:paraId="262DE05A" w14:textId="2E672C91" w:rsidR="00843802" w:rsidRDefault="006E6361" w:rsidP="00AA7F80">
                            <w:pPr>
                              <w:spacing w:before="120"/>
                              <w:ind w:left="10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bi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osigurala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pravna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sigurnost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stabilnost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dugoročnog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procesa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revizije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ODIHR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ponavlja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učestalost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revizija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treba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bude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utvrđena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zakonom</w:t>
                            </w:r>
                            <w:r w:rsidR="00CE5810"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650C1" id="Textbox 52" o:spid="_x0000_s1029" type="#_x0000_t202" style="position:absolute;margin-left:90.6pt;margin-top:6.2pt;width:448pt;height:79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" fillcolor="#ebf3fd" strokecolor="#005595" strokeweight=".08431mm">
                <v:path arrowok="t"/>
                <v:textbox inset="0,0,0,0">
                  <w:txbxContent>
                    <w:p w14:paraId="399A889C" w14:textId="0BA0C206" w:rsidR="00AA7F80" w:rsidRPr="00AA7F80" w:rsidRDefault="006E6361" w:rsidP="00AA7F80">
                      <w:pPr>
                        <w:spacing w:before="120"/>
                        <w:ind w:left="10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PREPORUKA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</w:t>
                      </w:r>
                    </w:p>
                    <w:p w14:paraId="262DE05A" w14:textId="2E672C91" w:rsidR="00843802" w:rsidRDefault="006E6361" w:rsidP="00AA7F80">
                      <w:pPr>
                        <w:spacing w:before="120"/>
                        <w:ind w:left="10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bi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se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osigurala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pravna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sigurnost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stabilnost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dugoročnog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procesa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revizije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,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ODIHR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ponavlja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učestalost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revizija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treba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bude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utvrđena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zakonom</w:t>
                      </w:r>
                      <w:r w:rsidR="00CE5810"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F8AA01" w14:textId="77777777" w:rsidR="00843802" w:rsidRPr="00A54F50" w:rsidRDefault="00843802">
      <w:pPr>
        <w:pStyle w:val="BodyText"/>
        <w:spacing w:before="1"/>
        <w:ind w:left="0"/>
        <w:rPr>
          <w:lang w:val="sr-Cyrl-RS"/>
        </w:rPr>
      </w:pPr>
    </w:p>
    <w:p w14:paraId="109ED4B6" w14:textId="69E17AD0" w:rsidR="00843802" w:rsidRPr="00A54F50" w:rsidRDefault="006E6361">
      <w:pPr>
        <w:pStyle w:val="ListParagraph"/>
        <w:numPr>
          <w:ilvl w:val="0"/>
          <w:numId w:val="9"/>
        </w:numPr>
        <w:tabs>
          <w:tab w:val="left" w:pos="1427"/>
        </w:tabs>
        <w:ind w:right="704"/>
        <w:rPr>
          <w:sz w:val="24"/>
          <w:lang w:val="sr-Cyrl-RS"/>
        </w:rPr>
      </w:pPr>
      <w:r>
        <w:rPr>
          <w:sz w:val="24"/>
          <w:lang w:val="sr-Cyrl-RS"/>
        </w:rPr>
        <w:t>Mandat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utvrđen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prethodnoj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izvrši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jednokratnu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radi</w:t>
      </w:r>
      <w:r w:rsidR="00AA7F80" w:rsidRPr="00A54F50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revizije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verifikacije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kontrole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tačnosti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AA7F80" w:rsidRPr="00A54F50">
        <w:rPr>
          <w:sz w:val="24"/>
          <w:lang w:val="sr-Cyrl-RS"/>
        </w:rPr>
        <w:t xml:space="preserve">“ </w:t>
      </w:r>
      <w:r>
        <w:rPr>
          <w:sz w:val="24"/>
          <w:lang w:val="sr-Cyrl-RS"/>
        </w:rPr>
        <w:t>ostaje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njena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odgovornost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izradi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AA7F80" w:rsidRPr="00A54F50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unapređenje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tačnosti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AA7F80" w:rsidRPr="00A54F50">
        <w:rPr>
          <w:sz w:val="24"/>
          <w:lang w:val="sr-Cyrl-RS"/>
        </w:rPr>
        <w:t>“ (</w:t>
      </w:r>
      <w:r>
        <w:rPr>
          <w:sz w:val="24"/>
          <w:lang w:val="sr-Cyrl-RS"/>
        </w:rPr>
        <w:t>član</w:t>
      </w:r>
      <w:r w:rsidR="00E92B16">
        <w:rPr>
          <w:sz w:val="24"/>
          <w:lang w:val="sr-Cyrl-RS"/>
        </w:rPr>
        <w:t xml:space="preserve"> </w:t>
      </w:r>
      <w:r w:rsidR="00AA7F80" w:rsidRPr="00A54F50">
        <w:rPr>
          <w:sz w:val="24"/>
          <w:lang w:val="sr-Cyrl-RS"/>
        </w:rPr>
        <w:t>6</w:t>
      </w:r>
      <w:r w:rsidR="00E92B16">
        <w:rPr>
          <w:sz w:val="24"/>
          <w:lang w:val="sr-Cyrl-RS"/>
        </w:rPr>
        <w:t>-</w:t>
      </w:r>
      <w:r w:rsidR="00AA7F80" w:rsidRPr="00A54F50">
        <w:rPr>
          <w:sz w:val="24"/>
          <w:lang w:val="sr-Cyrl-RS"/>
        </w:rPr>
        <w:t>7</w:t>
      </w:r>
      <w:r w:rsidR="00E92B1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ažuriranog</w:t>
      </w:r>
      <w:r w:rsidR="00E92B1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E92B1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ranije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</w:t>
      </w:r>
      <w:r w:rsidR="00AA7F80" w:rsidRPr="00A54F50">
        <w:rPr>
          <w:sz w:val="24"/>
          <w:lang w:val="sr-Cyrl-RS"/>
        </w:rPr>
        <w:t xml:space="preserve"> 5-6). </w:t>
      </w:r>
      <w:r>
        <w:rPr>
          <w:sz w:val="24"/>
          <w:lang w:val="sr-Cyrl-RS"/>
        </w:rPr>
        <w:t>Vremenski</w:t>
      </w:r>
      <w:r w:rsidR="0059288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okvir</w:t>
      </w:r>
      <w:r w:rsidR="0059288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59288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59288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ostaje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59288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član</w:t>
      </w:r>
      <w:r w:rsidR="00AA7F80" w:rsidRPr="00A54F50">
        <w:rPr>
          <w:sz w:val="24"/>
          <w:lang w:val="sr-Cyrl-RS"/>
        </w:rPr>
        <w:t xml:space="preserve"> 7 </w:t>
      </w:r>
      <w:r>
        <w:rPr>
          <w:sz w:val="24"/>
          <w:lang w:val="sr-Cyrl-RS"/>
        </w:rPr>
        <w:t>Nacrta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ranije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</w:t>
      </w:r>
      <w:r w:rsidR="00AA7F80" w:rsidRPr="00A54F50">
        <w:rPr>
          <w:sz w:val="24"/>
          <w:lang w:val="sr-Cyrl-RS"/>
        </w:rPr>
        <w:t xml:space="preserve"> 6). </w:t>
      </w:r>
      <w:r>
        <w:rPr>
          <w:sz w:val="24"/>
          <w:lang w:val="sr-Cyrl-RS"/>
        </w:rPr>
        <w:t>S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ODIHR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ponavlja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važno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da</w:t>
      </w:r>
      <w:r w:rsidR="00AA7F80" w:rsidRPr="00D47CF2">
        <w:rPr>
          <w:b/>
          <w:bCs/>
          <w:sz w:val="24"/>
          <w:lang w:val="sr-Cyrl-RS"/>
        </w:rPr>
        <w:t xml:space="preserve"> [</w:t>
      </w:r>
      <w:r>
        <w:rPr>
          <w:b/>
          <w:bCs/>
          <w:sz w:val="24"/>
          <w:lang w:val="sr-Cyrl-RS"/>
        </w:rPr>
        <w:t>prva</w:t>
      </w:r>
      <w:r w:rsidR="00AA7F80" w:rsidRPr="00D47CF2">
        <w:rPr>
          <w:b/>
          <w:bCs/>
          <w:sz w:val="24"/>
          <w:lang w:val="sr-Cyrl-RS"/>
        </w:rPr>
        <w:t xml:space="preserve">] </w:t>
      </w:r>
      <w:r>
        <w:rPr>
          <w:b/>
          <w:bCs/>
          <w:sz w:val="24"/>
          <w:lang w:val="sr-Cyrl-RS"/>
        </w:rPr>
        <w:t>revizija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bude</w:t>
      </w:r>
      <w:r w:rsidR="00F2710F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završena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dosta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pre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narednih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izbora</w:t>
      </w:r>
      <w:r w:rsidR="00AA7F80" w:rsidRPr="00D47CF2">
        <w:rPr>
          <w:b/>
          <w:bCs/>
          <w:sz w:val="24"/>
          <w:lang w:val="sr-Cyrl-RS"/>
        </w:rPr>
        <w:t xml:space="preserve">, </w:t>
      </w:r>
      <w:r>
        <w:rPr>
          <w:b/>
          <w:bCs/>
          <w:sz w:val="24"/>
          <w:lang w:val="sr-Cyrl-RS"/>
        </w:rPr>
        <w:t>kako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bi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se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obezbedilo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dovoljno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vremena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rešavanje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nalaza</w:t>
      </w:r>
      <w:r w:rsidR="00AA7F80" w:rsidRPr="00D47CF2">
        <w:rPr>
          <w:b/>
          <w:bCs/>
          <w:sz w:val="24"/>
          <w:lang w:val="sr-Cyrl-RS"/>
        </w:rPr>
        <w:t xml:space="preserve">, </w:t>
      </w:r>
      <w:r>
        <w:rPr>
          <w:b/>
          <w:bCs/>
          <w:sz w:val="24"/>
          <w:lang w:val="sr-Cyrl-RS"/>
        </w:rPr>
        <w:t>i</w:t>
      </w:r>
      <w:r w:rsidR="007C0C70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osiguralo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poboljšanje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poverenja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JBS</w:t>
      </w:r>
      <w:r w:rsidR="00AA7F80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Napominje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odredbe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AA7F80" w:rsidRPr="00A54F50">
        <w:rPr>
          <w:sz w:val="24"/>
          <w:lang w:val="sr-Cyrl-RS"/>
        </w:rPr>
        <w:t xml:space="preserve"> 10. </w:t>
      </w:r>
      <w:r>
        <w:rPr>
          <w:sz w:val="24"/>
          <w:lang w:val="sr-Cyrl-RS"/>
        </w:rPr>
        <w:t>prethodne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predviđalo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može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formirati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ponovnu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pojavljuju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verovatno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zato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poverava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odgovornost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periodično</w:t>
      </w:r>
      <w:r w:rsidR="00AA7F80" w:rsidRPr="00A54F50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vrši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AA7F80" w:rsidRPr="00A54F50">
        <w:rPr>
          <w:sz w:val="24"/>
          <w:lang w:val="sr-Cyrl-RS"/>
        </w:rPr>
        <w:t>.</w:t>
      </w:r>
    </w:p>
    <w:p w14:paraId="3853169F" w14:textId="77777777" w:rsidR="00843802" w:rsidRPr="00A54F50" w:rsidRDefault="00CE5810">
      <w:pPr>
        <w:pStyle w:val="BodyText"/>
        <w:spacing w:before="10"/>
        <w:ind w:left="0"/>
        <w:rPr>
          <w:sz w:val="18"/>
          <w:lang w:val="sr-Cyrl-RS"/>
        </w:rPr>
      </w:pPr>
      <w:r w:rsidRPr="00A54F50">
        <w:rPr>
          <w:noProof/>
          <w:sz w:val="18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6A7DD3B" wp14:editId="50DF1E50">
                <wp:simplePos x="0" y="0"/>
                <wp:positionH relativeFrom="page">
                  <wp:posOffset>1150619</wp:posOffset>
                </wp:positionH>
                <wp:positionV relativeFrom="paragraph">
                  <wp:posOffset>155027</wp:posOffset>
                </wp:positionV>
                <wp:extent cx="5689600" cy="100330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0" cy="1003300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19C390" w14:textId="528F07EB" w:rsidR="00AA7F80" w:rsidRPr="00AA7F80" w:rsidRDefault="006E6361" w:rsidP="00AA7F80">
                            <w:pPr>
                              <w:spacing w:before="120"/>
                              <w:ind w:left="105" w:right="98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PREPORUKA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</w:t>
                            </w:r>
                          </w:p>
                          <w:p w14:paraId="22276789" w14:textId="651D04B0" w:rsidR="00843802" w:rsidRDefault="006E6361" w:rsidP="00AA7F80">
                            <w:pPr>
                              <w:spacing w:before="120"/>
                              <w:ind w:left="105" w:right="98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Preporuč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uje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="00592883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prva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revizija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bude</w:t>
                            </w:r>
                            <w:r w:rsidR="00F2710F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završ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ena</w:t>
                            </w:r>
                            <w:r w:rsidR="00F2710F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dosta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narednih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izbora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kako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bi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obezbedilo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dovoljno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vremena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rešavanje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nalaza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="007C0C70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osigura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lo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poboljš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nje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poverenj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JBS</w:t>
                            </w:r>
                            <w:r w:rsidR="00CE5810"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7DD3B" id="Textbox 53" o:spid="_x0000_s1030" type="#_x0000_t202" style="position:absolute;margin-left:90.6pt;margin-top:12.2pt;width:448pt;height:79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" fillcolor="#ebf3fd" strokecolor="#005595" strokeweight=".08431mm">
                <v:path arrowok="t"/>
                <v:textbox inset="0,0,0,0">
                  <w:txbxContent>
                    <w:p w14:paraId="5719C390" w14:textId="528F07EB" w:rsidR="00AA7F80" w:rsidRPr="00AA7F80" w:rsidRDefault="006E6361" w:rsidP="00AA7F80">
                      <w:pPr>
                        <w:spacing w:before="120"/>
                        <w:ind w:left="105" w:right="98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PREPORUKA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</w:t>
                      </w:r>
                    </w:p>
                    <w:p w14:paraId="22276789" w14:textId="651D04B0" w:rsidR="00843802" w:rsidRDefault="006E6361" w:rsidP="00AA7F80">
                      <w:pPr>
                        <w:spacing w:before="120"/>
                        <w:ind w:left="105" w:right="98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Preporuč</w:t>
                      </w: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uje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se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="00592883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>[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prva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]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revizija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bude</w:t>
                      </w:r>
                      <w:r w:rsidR="00F2710F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završ</w:t>
                      </w: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ena</w:t>
                      </w:r>
                      <w:r w:rsidR="00F2710F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dosta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pre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narednih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izbora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,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kako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bi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se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obezbedilo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dovoljno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vremena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rešavanje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nalaza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, </w:t>
                      </w: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="007C0C70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osigura</w:t>
                      </w: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lo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poboljš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nje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poverenj</w:t>
                      </w: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JBS</w:t>
                      </w:r>
                      <w:r w:rsidR="00CE5810"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9796B2" w14:textId="77777777" w:rsidR="00843802" w:rsidRPr="00A54F50" w:rsidRDefault="00843802">
      <w:pPr>
        <w:pStyle w:val="BodyText"/>
        <w:spacing w:before="1"/>
        <w:ind w:left="0"/>
        <w:rPr>
          <w:lang w:val="sr-Cyrl-RS"/>
        </w:rPr>
      </w:pPr>
    </w:p>
    <w:p w14:paraId="0F03FFAE" w14:textId="41B24DA2" w:rsidR="00843802" w:rsidRPr="00B30A30" w:rsidRDefault="006E6361" w:rsidP="00122329">
      <w:pPr>
        <w:pStyle w:val="ListParagraph"/>
        <w:numPr>
          <w:ilvl w:val="0"/>
          <w:numId w:val="9"/>
        </w:numPr>
        <w:tabs>
          <w:tab w:val="left" w:pos="1427"/>
        </w:tabs>
        <w:spacing w:before="268"/>
        <w:ind w:right="706"/>
        <w:rPr>
          <w:lang w:val="sr-Cyrl-RS"/>
        </w:rPr>
      </w:pPr>
      <w:r>
        <w:rPr>
          <w:sz w:val="24"/>
          <w:lang w:val="sr-Cyrl-RS"/>
        </w:rPr>
        <w:t>Što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tiče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novopredloženog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mandata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B30A30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vršenje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revizije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AA7F80" w:rsidRPr="00B30A3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ažurirani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članu</w:t>
      </w:r>
      <w:r w:rsidR="00AA7F80" w:rsidRPr="00B30A30">
        <w:rPr>
          <w:sz w:val="24"/>
          <w:lang w:val="sr-Cyrl-RS"/>
        </w:rPr>
        <w:t xml:space="preserve"> 4</w:t>
      </w:r>
      <w:r w:rsidR="00592883" w:rsidRPr="00B30A30">
        <w:rPr>
          <w:sz w:val="24"/>
          <w:lang w:val="sr-Cyrl-RS"/>
        </w:rPr>
        <w:t>.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uvodi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novo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Poglavlje</w:t>
      </w:r>
      <w:r w:rsidR="00AA7F80" w:rsidRPr="00B30A30">
        <w:rPr>
          <w:sz w:val="24"/>
          <w:lang w:val="sr-Cyrl-RS"/>
        </w:rPr>
        <w:t xml:space="preserve"> </w:t>
      </w:r>
      <w:r w:rsidR="00592883" w:rsidRPr="00B30A30">
        <w:rPr>
          <w:sz w:val="24"/>
          <w:lang w:val="sr-Latn-RS"/>
        </w:rPr>
        <w:t>V</w:t>
      </w:r>
      <w:r>
        <w:rPr>
          <w:sz w:val="24"/>
          <w:lang w:val="sr-Cyrl-RS"/>
        </w:rPr>
        <w:t>a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reviziji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AA7F80" w:rsidRPr="00B30A3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novi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članovi</w:t>
      </w:r>
      <w:r w:rsidR="00AA7F80" w:rsidRPr="00B30A30">
        <w:rPr>
          <w:sz w:val="24"/>
          <w:lang w:val="sr-Cyrl-RS"/>
        </w:rPr>
        <w:t xml:space="preserve"> 22</w:t>
      </w:r>
      <w:r>
        <w:rPr>
          <w:sz w:val="24"/>
          <w:lang w:val="sr-Cyrl-RS"/>
        </w:rPr>
        <w:t>a</w:t>
      </w:r>
      <w:r w:rsidR="00AA7F80" w:rsidRPr="00B30A30">
        <w:rPr>
          <w:sz w:val="24"/>
          <w:lang w:val="sr-Cyrl-RS"/>
        </w:rPr>
        <w:t xml:space="preserve"> – 22</w:t>
      </w:r>
      <w:r>
        <w:rPr>
          <w:sz w:val="24"/>
          <w:lang w:val="sr-Cyrl-RS"/>
        </w:rPr>
        <w:t>c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ZJBS</w:t>
      </w:r>
      <w:r w:rsidR="00AA7F80" w:rsidRPr="00B30A30">
        <w:rPr>
          <w:sz w:val="24"/>
          <w:lang w:val="sr-Cyrl-RS"/>
        </w:rPr>
        <w:t xml:space="preserve">). </w:t>
      </w:r>
      <w:r>
        <w:rPr>
          <w:sz w:val="24"/>
          <w:lang w:val="sr-Cyrl-RS"/>
        </w:rPr>
        <w:t>S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tim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AA7F80" w:rsidRPr="00B30A3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mandat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B30A30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određuje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kao</w:t>
      </w:r>
      <w:r w:rsidR="00AA7F80" w:rsidRPr="00B30A30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analiza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procena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kvaliteta</w:t>
      </w:r>
      <w:r w:rsidR="00AA7F80" w:rsidRPr="00B30A3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tačnosti</w:t>
      </w:r>
      <w:r w:rsidR="00AA7F80" w:rsidRPr="00B30A3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pouzdanosti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efikasnosti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vođenja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ažuriranja</w:t>
      </w:r>
      <w:r w:rsidR="00AA7F8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B30A30" w:rsidRP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B30A30">
        <w:rPr>
          <w:sz w:val="24"/>
          <w:lang w:val="sr-Cyrl-RS"/>
        </w:rPr>
        <w:t xml:space="preserve">“, </w:t>
      </w:r>
      <w:r>
        <w:rPr>
          <w:sz w:val="24"/>
          <w:lang w:val="sr-Cyrl-RS"/>
        </w:rPr>
        <w:t>što</w:t>
      </w:r>
      <w:r w:rsidR="00B30A3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nešto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drugačije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određeno</w:t>
      </w:r>
      <w:r w:rsidR="00B30A30">
        <w:rPr>
          <w:lang w:val="sr-Cyrl-RS"/>
        </w:rPr>
        <w:t xml:space="preserve"> </w:t>
      </w:r>
      <w:r>
        <w:rPr>
          <w:lang w:val="sr-Cyrl-RS"/>
        </w:rPr>
        <w:t>od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manadata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Komisije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za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reviziju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kao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što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je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gore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navedeno</w:t>
      </w:r>
      <w:r w:rsidR="00AA7F80" w:rsidRPr="00B30A30">
        <w:rPr>
          <w:lang w:val="sr-Cyrl-RS"/>
        </w:rPr>
        <w:t xml:space="preserve">. </w:t>
      </w:r>
      <w:r>
        <w:rPr>
          <w:lang w:val="sr-Cyrl-RS"/>
        </w:rPr>
        <w:t>U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tom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smislu</w:t>
      </w:r>
      <w:r w:rsidR="00AA7F80" w:rsidRPr="00B30A30">
        <w:rPr>
          <w:lang w:val="sr-Cyrl-RS"/>
        </w:rPr>
        <w:t xml:space="preserve">, </w:t>
      </w:r>
      <w:r>
        <w:rPr>
          <w:lang w:val="sr-Cyrl-RS"/>
        </w:rPr>
        <w:t>nije</w:t>
      </w:r>
      <w:r w:rsidR="00103DCB">
        <w:rPr>
          <w:lang w:val="sr-Cyrl-RS"/>
        </w:rPr>
        <w:t xml:space="preserve"> </w:t>
      </w:r>
      <w:r>
        <w:rPr>
          <w:lang w:val="sr-Cyrl-RS"/>
        </w:rPr>
        <w:t>jasno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je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da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li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različite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formulacije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koje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se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koriste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za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određivanje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mandata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Komisije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za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reviziju</w:t>
      </w:r>
      <w:r w:rsidR="007C0C70">
        <w:rPr>
          <w:lang w:val="sr-Cyrl-RS"/>
        </w:rPr>
        <w:t xml:space="preserve">, </w:t>
      </w:r>
      <w:r>
        <w:rPr>
          <w:lang w:val="sr-Cyrl-RS"/>
        </w:rPr>
        <w:t>odnosno</w:t>
      </w:r>
      <w:r w:rsidR="007C0C70">
        <w:rPr>
          <w:lang w:val="sr-Cyrl-RS"/>
        </w:rPr>
        <w:t xml:space="preserve"> </w:t>
      </w:r>
      <w:r>
        <w:rPr>
          <w:lang w:val="sr-Cyrl-RS"/>
        </w:rPr>
        <w:t>mandata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RIK</w:t>
      </w:r>
      <w:r w:rsidR="00AA7F80" w:rsidRPr="00B30A30">
        <w:rPr>
          <w:lang w:val="sr-Cyrl-RS"/>
        </w:rPr>
        <w:t>-</w:t>
      </w:r>
      <w:r>
        <w:rPr>
          <w:lang w:val="sr-Cyrl-RS"/>
        </w:rPr>
        <w:t>a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i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u</w:t>
      </w:r>
      <w:r w:rsidR="00103DCB">
        <w:rPr>
          <w:lang w:val="sr-Cyrl-RS"/>
        </w:rPr>
        <w:t xml:space="preserve"> </w:t>
      </w:r>
      <w:r>
        <w:rPr>
          <w:lang w:val="sr-Cyrl-RS"/>
        </w:rPr>
        <w:t>nacrtu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preporuka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imaju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za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cilj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da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označe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suštinske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razlike</w:t>
      </w:r>
      <w:r w:rsidR="00103DCB">
        <w:rPr>
          <w:lang w:val="sr-Cyrl-RS"/>
        </w:rPr>
        <w:t>,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i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ako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je</w:t>
      </w:r>
      <w:r w:rsidR="00103DCB">
        <w:rPr>
          <w:lang w:val="sr-Cyrl-RS"/>
        </w:rPr>
        <w:t xml:space="preserve"> </w:t>
      </w:r>
      <w:r>
        <w:rPr>
          <w:lang w:val="sr-Cyrl-RS"/>
        </w:rPr>
        <w:t>to</w:t>
      </w:r>
      <w:r w:rsidR="00103DCB">
        <w:rPr>
          <w:lang w:val="sr-Cyrl-RS"/>
        </w:rPr>
        <w:t xml:space="preserve"> </w:t>
      </w:r>
      <w:r>
        <w:rPr>
          <w:lang w:val="sr-Cyrl-RS"/>
        </w:rPr>
        <w:t>slučaj</w:t>
      </w:r>
      <w:r w:rsidR="00AA7F80" w:rsidRPr="00B30A30">
        <w:rPr>
          <w:lang w:val="sr-Cyrl-RS"/>
        </w:rPr>
        <w:t xml:space="preserve">, </w:t>
      </w:r>
      <w:r>
        <w:rPr>
          <w:lang w:val="sr-Cyrl-RS"/>
        </w:rPr>
        <w:t>u</w:t>
      </w:r>
      <w:r w:rsidR="00103DCB">
        <w:rPr>
          <w:lang w:val="sr-Cyrl-RS"/>
        </w:rPr>
        <w:t xml:space="preserve"> </w:t>
      </w:r>
      <w:r>
        <w:rPr>
          <w:lang w:val="sr-Cyrl-RS"/>
        </w:rPr>
        <w:t>čemu</w:t>
      </w:r>
      <w:r w:rsidR="00103DCB">
        <w:rPr>
          <w:lang w:val="sr-Cyrl-RS"/>
        </w:rPr>
        <w:t xml:space="preserve"> </w:t>
      </w:r>
      <w:r>
        <w:rPr>
          <w:lang w:val="sr-Cyrl-RS"/>
        </w:rPr>
        <w:t>se</w:t>
      </w:r>
      <w:r w:rsidR="00103DCB">
        <w:rPr>
          <w:lang w:val="sr-Cyrl-RS"/>
        </w:rPr>
        <w:t xml:space="preserve"> </w:t>
      </w:r>
      <w:r>
        <w:rPr>
          <w:lang w:val="sr-Cyrl-RS"/>
        </w:rPr>
        <w:t>oni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suštinski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razlikuju</w:t>
      </w:r>
      <w:r w:rsidR="00AA7F80" w:rsidRPr="00B30A30">
        <w:rPr>
          <w:lang w:val="sr-Cyrl-RS"/>
        </w:rPr>
        <w:t xml:space="preserve">, </w:t>
      </w:r>
      <w:r>
        <w:rPr>
          <w:lang w:val="sr-Cyrl-RS"/>
        </w:rPr>
        <w:t>ili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je</w:t>
      </w:r>
      <w:r w:rsidR="00103DCB">
        <w:rPr>
          <w:lang w:val="sr-Cyrl-RS"/>
        </w:rPr>
        <w:t xml:space="preserve"> </w:t>
      </w:r>
      <w:r>
        <w:rPr>
          <w:lang w:val="sr-Cyrl-RS"/>
        </w:rPr>
        <w:t>ta</w:t>
      </w:r>
      <w:r w:rsidR="00103DCB">
        <w:rPr>
          <w:lang w:val="sr-Cyrl-RS"/>
        </w:rPr>
        <w:t xml:space="preserve"> </w:t>
      </w:r>
      <w:r>
        <w:rPr>
          <w:lang w:val="sr-Cyrl-RS"/>
        </w:rPr>
        <w:t>razlika</w:t>
      </w:r>
      <w:r w:rsidR="00103DCB">
        <w:rPr>
          <w:lang w:val="sr-Cyrl-RS"/>
        </w:rPr>
        <w:t xml:space="preserve"> </w:t>
      </w:r>
      <w:r>
        <w:rPr>
          <w:lang w:val="sr-Cyrl-RS"/>
        </w:rPr>
        <w:t>u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formulacije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samo</w:t>
      </w:r>
      <w:r w:rsidR="00AA7F80" w:rsidRPr="00B30A30">
        <w:rPr>
          <w:lang w:val="sr-Cyrl-RS"/>
        </w:rPr>
        <w:t xml:space="preserve"> </w:t>
      </w:r>
      <w:r>
        <w:rPr>
          <w:lang w:val="sr-Cyrl-RS"/>
        </w:rPr>
        <w:t>kozmetička</w:t>
      </w:r>
      <w:r w:rsidR="00CE5810" w:rsidRPr="00B30A30">
        <w:rPr>
          <w:lang w:val="sr-Cyrl-RS"/>
        </w:rPr>
        <w:t>.</w:t>
      </w:r>
      <w:r w:rsidR="00103DCB">
        <w:rPr>
          <w:lang w:val="sr-Latn-RS"/>
        </w:rPr>
        <w:t xml:space="preserve"> </w:t>
      </w:r>
    </w:p>
    <w:p w14:paraId="27747F31" w14:textId="77777777" w:rsidR="00843802" w:rsidRPr="00A54F50" w:rsidRDefault="00CE5810">
      <w:pPr>
        <w:pStyle w:val="BodyText"/>
        <w:spacing w:before="9"/>
        <w:ind w:left="0"/>
        <w:rPr>
          <w:sz w:val="18"/>
          <w:lang w:val="sr-Cyrl-RS"/>
        </w:rPr>
      </w:pPr>
      <w:r w:rsidRPr="00A54F50">
        <w:rPr>
          <w:noProof/>
          <w:sz w:val="18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023807F" wp14:editId="4D057455">
                <wp:simplePos x="0" y="0"/>
                <wp:positionH relativeFrom="page">
                  <wp:posOffset>1150619</wp:posOffset>
                </wp:positionH>
                <wp:positionV relativeFrom="paragraph">
                  <wp:posOffset>154668</wp:posOffset>
                </wp:positionV>
                <wp:extent cx="5689600" cy="1359535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0" cy="1359535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BD42D0" w14:textId="4DE3B76D" w:rsidR="00AA7F80" w:rsidRPr="00AA7F80" w:rsidRDefault="006E6361" w:rsidP="00AA7F80">
                            <w:pPr>
                              <w:spacing w:before="120"/>
                              <w:ind w:left="24" w:right="99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PREPORUKA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</w:p>
                          <w:p w14:paraId="595436C2" w14:textId="23E1BF83" w:rsidR="00843802" w:rsidRDefault="006E6361" w:rsidP="00AA7F80">
                            <w:pPr>
                              <w:spacing w:before="120"/>
                              <w:ind w:left="24" w:right="99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Preporučuje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se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da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se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određenja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mandata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i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prirode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nacrta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preporuka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Komisije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za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reviziju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i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RIK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a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ili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bilo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kog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drugog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nezavisnog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tela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kome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je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poverena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odgovornost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za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vršenje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revizije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ili</w:t>
                            </w:r>
                            <w:r w:rsidR="00103DC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usaglase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ili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jasnije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diferenciraju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u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zavisnosti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od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namere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sastavljača</w:t>
                            </w:r>
                            <w:r w:rsidR="00AA7F80"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nacrta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3807F" id="Textbox 55" o:spid="_x0000_s1031" type="#_x0000_t202" style="position:absolute;margin-left:90.6pt;margin-top:12.2pt;width:448pt;height:107.0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" fillcolor="#ebf3fd" strokecolor="#005595" strokeweight=".08431mm">
                <v:path arrowok="t"/>
                <v:textbox inset="0,0,0,0">
                  <w:txbxContent>
                    <w:p w14:paraId="01BD42D0" w14:textId="4DE3B76D" w:rsidR="00AA7F80" w:rsidRPr="00AA7F80" w:rsidRDefault="006E6361" w:rsidP="00AA7F80">
                      <w:pPr>
                        <w:spacing w:before="120"/>
                        <w:ind w:left="24" w:right="99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PREPORUKA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</w:t>
                      </w:r>
                    </w:p>
                    <w:p w14:paraId="595436C2" w14:textId="23E1BF83" w:rsidR="00843802" w:rsidRDefault="006E6361" w:rsidP="00AA7F80">
                      <w:pPr>
                        <w:spacing w:before="120"/>
                        <w:ind w:left="24" w:right="99"/>
                        <w:jc w:val="both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Preporučuje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se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da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se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određenja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mandata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i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prirode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nacrta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preporuka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Komisije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za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reviziju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i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RIK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a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(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ili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bilo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kog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drugog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nezavisnog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tela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kome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je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poverena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odgovornost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za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vršenje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revizije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)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ili</w:t>
                      </w:r>
                      <w:r w:rsidR="00103DCB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usaglase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ili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jasnije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diferenciraju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u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zavisnosti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od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namere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sastavljača</w:t>
                      </w:r>
                      <w:r w:rsidR="00AA7F80"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nacrta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40517E" w14:textId="77777777" w:rsidR="00843802" w:rsidRPr="00A54F50" w:rsidRDefault="00843802">
      <w:pPr>
        <w:pStyle w:val="BodyText"/>
        <w:spacing w:before="1"/>
        <w:ind w:left="0"/>
        <w:rPr>
          <w:lang w:val="sr-Cyrl-RS"/>
        </w:rPr>
      </w:pPr>
    </w:p>
    <w:p w14:paraId="2D832EAF" w14:textId="0C307F18" w:rsidR="00843802" w:rsidRPr="00A54F50" w:rsidRDefault="006E6361" w:rsidP="00597F8A">
      <w:pPr>
        <w:pStyle w:val="ListParagraph"/>
        <w:numPr>
          <w:ilvl w:val="0"/>
          <w:numId w:val="9"/>
        </w:numPr>
        <w:tabs>
          <w:tab w:val="left" w:pos="1427"/>
        </w:tabs>
        <w:ind w:right="705"/>
        <w:rPr>
          <w:sz w:val="24"/>
          <w:lang w:val="sr-Cyrl-RS"/>
        </w:rPr>
      </w:pPr>
      <w:r>
        <w:rPr>
          <w:sz w:val="24"/>
          <w:lang w:val="sr-Cyrl-RS"/>
        </w:rPr>
        <w:t>Obuhvat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vrši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kako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utvrđeno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AA7F80" w:rsidRPr="00A54F50">
        <w:rPr>
          <w:sz w:val="24"/>
          <w:lang w:val="sr-Cyrl-RS"/>
        </w:rPr>
        <w:t xml:space="preserve"> 22</w:t>
      </w:r>
      <w:r>
        <w:rPr>
          <w:sz w:val="24"/>
          <w:lang w:val="sr-Cyrl-RS"/>
        </w:rPr>
        <w:t>b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ZJBS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isti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obuhvat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jednokratne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prema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Suštinski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opis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lastRenderedPageBreak/>
        <w:t>obuhvata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AA7F80" w:rsidRPr="00A54F50">
        <w:rPr>
          <w:sz w:val="24"/>
          <w:lang w:val="sr-Cyrl-RS"/>
        </w:rPr>
        <w:t xml:space="preserve"> 7. </w:t>
      </w:r>
      <w:r>
        <w:rPr>
          <w:sz w:val="24"/>
          <w:lang w:val="sr-Cyrl-RS"/>
        </w:rPr>
        <w:t>prethodne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prenet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</w:t>
      </w:r>
      <w:r w:rsidR="00AA7F80" w:rsidRPr="00A54F50">
        <w:rPr>
          <w:sz w:val="24"/>
          <w:lang w:val="sr-Cyrl-RS"/>
        </w:rPr>
        <w:t xml:space="preserve"> 4. </w:t>
      </w:r>
      <w:r>
        <w:rPr>
          <w:sz w:val="24"/>
          <w:lang w:val="sr-Cyrl-RS"/>
        </w:rPr>
        <w:t>ažuriranog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određuje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obuhvat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dok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</w:t>
      </w:r>
      <w:r w:rsidR="00AA7F80" w:rsidRPr="00A54F50">
        <w:rPr>
          <w:sz w:val="24"/>
          <w:lang w:val="sr-Cyrl-RS"/>
        </w:rPr>
        <w:t xml:space="preserve"> 8. </w:t>
      </w:r>
      <w:r>
        <w:rPr>
          <w:sz w:val="24"/>
          <w:lang w:val="sr-Cyrl-RS"/>
        </w:rPr>
        <w:t>ažuriranog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jednokratne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8663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vrši</w:t>
      </w:r>
      <w:r w:rsidR="008663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663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663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imaju</w:t>
      </w:r>
      <w:r w:rsidR="008663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isti</w:t>
      </w:r>
      <w:r w:rsidR="008663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obuhvat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kao</w:t>
      </w:r>
      <w:r w:rsidR="008663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što</w:t>
      </w:r>
      <w:r w:rsidR="008663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utvrđen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663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8663EA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AA7F80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Što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tiče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obuhvata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revizije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8663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marta</w:t>
      </w:r>
      <w:r w:rsidR="00AA7F80" w:rsidRPr="00A54F50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godine</w:t>
      </w:r>
      <w:r w:rsidR="008663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data</w:t>
      </w:r>
      <w:r w:rsidR="008663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663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sledeća</w:t>
      </w:r>
      <w:r w:rsidR="008663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AA7F80" w:rsidRPr="00A54F50">
        <w:rPr>
          <w:sz w:val="24"/>
          <w:lang w:val="sr-Cyrl-RS"/>
        </w:rPr>
        <w:t>: „</w:t>
      </w:r>
      <w:r>
        <w:rPr>
          <w:i/>
          <w:iCs/>
          <w:sz w:val="24"/>
          <w:lang w:val="sr-Cyrl-RS"/>
        </w:rPr>
        <w:t>Iako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Nacrt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zakona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sadrži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odredbe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opsežnoj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reviziji</w:t>
      </w:r>
      <w:r w:rsidR="00AA7F80" w:rsidRPr="00D47CF2">
        <w:rPr>
          <w:i/>
          <w:iCs/>
          <w:sz w:val="24"/>
          <w:lang w:val="sr-Cyrl-RS"/>
        </w:rPr>
        <w:t xml:space="preserve">, </w:t>
      </w:r>
      <w:r>
        <w:rPr>
          <w:i/>
          <w:iCs/>
          <w:sz w:val="24"/>
          <w:lang w:val="sr-Cyrl-RS"/>
        </w:rPr>
        <w:t>trebalo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bi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razmotriti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uključivanje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dodatnih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oblasti</w:t>
      </w:r>
      <w:r w:rsidR="00AA7F80" w:rsidRPr="00D47CF2">
        <w:rPr>
          <w:i/>
          <w:iCs/>
          <w:sz w:val="24"/>
          <w:lang w:val="sr-Cyrl-RS"/>
        </w:rPr>
        <w:t xml:space="preserve">, </w:t>
      </w:r>
      <w:r>
        <w:rPr>
          <w:i/>
          <w:iCs/>
          <w:sz w:val="24"/>
          <w:lang w:val="sr-Cyrl-RS"/>
        </w:rPr>
        <w:t>na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primer</w:t>
      </w:r>
      <w:r w:rsidR="00AA7F80" w:rsidRPr="00D47CF2">
        <w:rPr>
          <w:i/>
          <w:iCs/>
          <w:sz w:val="24"/>
          <w:lang w:val="sr-Cyrl-RS"/>
        </w:rPr>
        <w:t xml:space="preserve">, </w:t>
      </w:r>
      <w:r>
        <w:rPr>
          <w:i/>
          <w:iCs/>
          <w:sz w:val="24"/>
          <w:lang w:val="sr-Cyrl-RS"/>
        </w:rPr>
        <w:t>reviziju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postojećeg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pravnog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regulatornog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okvira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za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JBS</w:t>
      </w:r>
      <w:r w:rsidR="00597F8A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kako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bi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se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osigurala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njegova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sveobuhvatnost</w:t>
      </w:r>
      <w:r w:rsidR="00AA7F80" w:rsidRPr="00D47CF2">
        <w:rPr>
          <w:i/>
          <w:iCs/>
          <w:sz w:val="24"/>
          <w:lang w:val="sr-Cyrl-RS"/>
        </w:rPr>
        <w:t xml:space="preserve">, </w:t>
      </w:r>
      <w:r>
        <w:rPr>
          <w:i/>
          <w:iCs/>
          <w:sz w:val="24"/>
          <w:lang w:val="sr-Cyrl-RS"/>
        </w:rPr>
        <w:t>pravna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sigurnost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usklađenost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sa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međunarodnim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standardima</w:t>
      </w:r>
      <w:r w:rsidR="00AA7F80" w:rsidRPr="00D47CF2">
        <w:rPr>
          <w:i/>
          <w:iCs/>
          <w:sz w:val="24"/>
          <w:lang w:val="sr-Cyrl-RS"/>
        </w:rPr>
        <w:t xml:space="preserve"> </w:t>
      </w:r>
      <w:r w:rsidR="00597F8A">
        <w:rPr>
          <w:i/>
          <w:iCs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i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dobrim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praksama</w:t>
      </w:r>
      <w:r w:rsidR="00597F8A" w:rsidRPr="00597F8A">
        <w:rPr>
          <w:bCs/>
          <w:i/>
          <w:color w:val="000000"/>
          <w:sz w:val="24"/>
          <w:lang w:val="sr-Cyrl-RS"/>
        </w:rPr>
        <w:t xml:space="preserve">, </w:t>
      </w:r>
      <w:r>
        <w:rPr>
          <w:bCs/>
          <w:i/>
          <w:color w:val="000000"/>
          <w:sz w:val="24"/>
          <w:lang w:val="sr-Cyrl-RS"/>
        </w:rPr>
        <w:t>i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revizija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javne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komunikacije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i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edukacije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birača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o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postupku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upisa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birača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kako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bi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se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ocenila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njihova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adekvatnost</w:t>
      </w:r>
      <w:r w:rsidR="00597F8A" w:rsidRPr="00597F8A">
        <w:rPr>
          <w:bCs/>
          <w:i/>
          <w:color w:val="000000"/>
          <w:sz w:val="24"/>
          <w:lang w:val="sr-Cyrl-RS"/>
        </w:rPr>
        <w:t xml:space="preserve">, </w:t>
      </w:r>
      <w:r>
        <w:rPr>
          <w:bCs/>
          <w:i/>
          <w:color w:val="000000"/>
          <w:sz w:val="24"/>
          <w:lang w:val="sr-Cyrl-RS"/>
        </w:rPr>
        <w:t>pravovremenost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i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dovoljnost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kao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kritičnih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elemenata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za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obezbeđivanje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transparentnosti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i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poverenja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u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birački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spisak</w:t>
      </w:r>
      <w:r w:rsidR="00597F8A" w:rsidRPr="00597F8A">
        <w:rPr>
          <w:bCs/>
          <w:i/>
          <w:color w:val="000000"/>
          <w:sz w:val="24"/>
          <w:lang w:val="sr-Cyrl-RS"/>
        </w:rPr>
        <w:t xml:space="preserve">.  </w:t>
      </w:r>
      <w:r>
        <w:rPr>
          <w:bCs/>
          <w:i/>
          <w:color w:val="000000"/>
          <w:sz w:val="24"/>
          <w:lang w:val="sr-Cyrl-RS"/>
        </w:rPr>
        <w:t>Eksplicitno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uključivanje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svih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oblasti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za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reviziju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će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osigurati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da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Komisija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za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reviziju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dobije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pristup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relevantnim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podacima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i</w:t>
      </w:r>
      <w:r w:rsidR="00597F8A" w:rsidRPr="00597F8A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informacijama</w:t>
      </w:r>
      <w:r w:rsidR="00597F8A" w:rsidRPr="00597F8A">
        <w:rPr>
          <w:bCs/>
          <w:i/>
          <w:color w:val="000000"/>
          <w:sz w:val="24"/>
          <w:lang w:val="sr-Cyrl-RS"/>
        </w:rPr>
        <w:t>.“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obuhvat</w:t>
      </w:r>
      <w:r w:rsidR="00597F8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vrše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Komisija</w:t>
      </w:r>
      <w:r w:rsidR="00597F8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597F8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proširen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analizu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pravnog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okvira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</w:t>
      </w:r>
      <w:r w:rsidR="00597F8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reguliše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način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vođenja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AA7F80" w:rsidRPr="00A54F50">
        <w:rPr>
          <w:sz w:val="24"/>
          <w:lang w:val="sr-Cyrl-RS"/>
        </w:rPr>
        <w:t xml:space="preserve">. </w:t>
      </w:r>
      <w:r>
        <w:rPr>
          <w:b/>
          <w:bCs/>
          <w:sz w:val="24"/>
          <w:lang w:val="sr-Cyrl-RS"/>
        </w:rPr>
        <w:t>Shodno</w:t>
      </w:r>
      <w:r w:rsidR="00597F8A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tome</w:t>
      </w:r>
      <w:r w:rsidR="00AA7F80" w:rsidRPr="00D47CF2">
        <w:rPr>
          <w:b/>
          <w:bCs/>
          <w:sz w:val="24"/>
          <w:lang w:val="sr-Cyrl-RS"/>
        </w:rPr>
        <w:t xml:space="preserve">, </w:t>
      </w:r>
      <w:r>
        <w:rPr>
          <w:b/>
          <w:bCs/>
          <w:sz w:val="24"/>
          <w:lang w:val="sr-Cyrl-RS"/>
        </w:rPr>
        <w:t>smatra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se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da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je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napred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navedena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preporuka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uglavnom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adresirana</w:t>
      </w:r>
      <w:r w:rsidR="004307AE">
        <w:rPr>
          <w:b/>
          <w:bCs/>
          <w:sz w:val="24"/>
          <w:lang w:val="sr-Cyrl-RS"/>
        </w:rPr>
        <w:t>,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kako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revizija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javne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komunikacije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i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edukacije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birača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postupku</w:t>
      </w:r>
      <w:r w:rsidR="004307AE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upisa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birača</w:t>
      </w:r>
      <w:r w:rsidR="004307AE">
        <w:rPr>
          <w:b/>
          <w:bCs/>
          <w:sz w:val="24"/>
          <w:lang w:val="sr-Cyrl-RS"/>
        </w:rPr>
        <w:t>,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kako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je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preporučeno</w:t>
      </w:r>
      <w:r w:rsidR="004307AE">
        <w:rPr>
          <w:b/>
          <w:bCs/>
          <w:sz w:val="24"/>
          <w:lang w:val="sr-Cyrl-RS"/>
        </w:rPr>
        <w:t>,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nisu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uključene</w:t>
      </w:r>
      <w:r w:rsidR="00CE5810" w:rsidRPr="00A54F50">
        <w:rPr>
          <w:b/>
          <w:sz w:val="24"/>
          <w:lang w:val="sr-Cyrl-RS"/>
        </w:rPr>
        <w:t>.</w:t>
      </w:r>
      <w:r w:rsidR="00D47CF2">
        <w:rPr>
          <w:rStyle w:val="FootnoteReference"/>
          <w:b/>
          <w:sz w:val="24"/>
          <w:lang w:val="sr-Cyrl-RS"/>
        </w:rPr>
        <w:footnoteReference w:id="13"/>
      </w:r>
      <w:r w:rsidR="00D47CF2" w:rsidRPr="00A54F50">
        <w:rPr>
          <w:sz w:val="24"/>
          <w:lang w:val="sr-Cyrl-RS"/>
        </w:rPr>
        <w:t xml:space="preserve"> </w:t>
      </w:r>
    </w:p>
    <w:p w14:paraId="1CA2B63C" w14:textId="04EF8E64" w:rsidR="00843802" w:rsidRPr="00A54F50" w:rsidRDefault="006E6361">
      <w:pPr>
        <w:pStyle w:val="ListParagraph"/>
        <w:numPr>
          <w:ilvl w:val="0"/>
          <w:numId w:val="9"/>
        </w:numPr>
        <w:tabs>
          <w:tab w:val="left" w:pos="1427"/>
        </w:tabs>
        <w:spacing w:before="121"/>
        <w:ind w:right="705"/>
        <w:rPr>
          <w:b/>
          <w:sz w:val="24"/>
          <w:lang w:val="sr-Cyrl-RS"/>
        </w:rPr>
      </w:pPr>
      <w:r>
        <w:rPr>
          <w:sz w:val="24"/>
          <w:lang w:val="sr-Cyrl-RS"/>
        </w:rPr>
        <w:t>Prethodnom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član</w:t>
      </w:r>
      <w:r w:rsidR="00AA7F80" w:rsidRPr="00A54F50">
        <w:rPr>
          <w:sz w:val="24"/>
          <w:lang w:val="sr-Cyrl-RS"/>
        </w:rPr>
        <w:t xml:space="preserve"> 7) </w:t>
      </w:r>
      <w:r>
        <w:rPr>
          <w:sz w:val="24"/>
          <w:lang w:val="sr-Cyrl-RS"/>
        </w:rPr>
        <w:t>se</w:t>
      </w:r>
      <w:r w:rsidR="004307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izričito</w:t>
      </w:r>
      <w:r w:rsidR="004307AE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zahtevalo</w:t>
      </w:r>
      <w:r w:rsidR="004307AE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dostave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podatke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informacije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što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ocenio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dovoljno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307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obezbedi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odgovarajući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evidenciji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informacijama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uključujući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IKT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aplikacijama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neophodnim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ispunjavanje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mandata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AA7F80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Ova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odredba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dalje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pojavljuje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duplirana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okviru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odredbe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reguliše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AA7F80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član</w:t>
      </w:r>
      <w:r w:rsidR="00AA7F80" w:rsidRPr="00A54F50">
        <w:rPr>
          <w:sz w:val="24"/>
          <w:lang w:val="sr-Cyrl-RS"/>
        </w:rPr>
        <w:t xml:space="preserve"> 4. </w:t>
      </w:r>
      <w:r>
        <w:rPr>
          <w:sz w:val="24"/>
          <w:lang w:val="sr-Cyrl-RS"/>
        </w:rPr>
        <w:t>ažuriranog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>/</w:t>
      </w:r>
      <w:r>
        <w:rPr>
          <w:sz w:val="24"/>
          <w:lang w:val="sr-Cyrl-RS"/>
        </w:rPr>
        <w:t>novi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</w:t>
      </w:r>
      <w:r w:rsidR="00AA7F80" w:rsidRPr="00A54F50">
        <w:rPr>
          <w:sz w:val="24"/>
          <w:lang w:val="sr-Cyrl-RS"/>
        </w:rPr>
        <w:t xml:space="preserve"> 22</w:t>
      </w:r>
      <w:r>
        <w:rPr>
          <w:sz w:val="24"/>
          <w:lang w:val="sr-Cyrl-RS"/>
        </w:rPr>
        <w:t>b</w:t>
      </w:r>
      <w:r w:rsidR="00AA7F80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ZJBS</w:t>
      </w:r>
      <w:r w:rsidR="00AA7F80" w:rsidRPr="00A54F50">
        <w:rPr>
          <w:sz w:val="24"/>
          <w:lang w:val="sr-Cyrl-RS"/>
        </w:rPr>
        <w:t xml:space="preserve">). </w:t>
      </w:r>
      <w:r>
        <w:rPr>
          <w:sz w:val="24"/>
          <w:lang w:val="sr-Cyrl-RS"/>
        </w:rPr>
        <w:t>S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4307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4307AE">
        <w:rPr>
          <w:sz w:val="24"/>
          <w:lang w:val="sr-Cyrl-RS"/>
        </w:rPr>
        <w:t>-</w:t>
      </w:r>
      <w:r>
        <w:rPr>
          <w:sz w:val="24"/>
          <w:lang w:val="sr-Cyrl-RS"/>
        </w:rPr>
        <w:t>ovom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marta</w:t>
      </w:r>
      <w:r w:rsidR="00AA7F80" w:rsidRPr="00A54F50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data</w:t>
      </w:r>
      <w:r w:rsidR="004307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307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„</w:t>
      </w:r>
      <w:r>
        <w:rPr>
          <w:i/>
          <w:iCs/>
          <w:sz w:val="24"/>
          <w:lang w:val="sr-Cyrl-RS"/>
        </w:rPr>
        <w:t>Kao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zaštitna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mera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zaštite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privatnih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podataka</w:t>
      </w:r>
      <w:r w:rsidR="00AA7F80" w:rsidRPr="00D47CF2">
        <w:rPr>
          <w:i/>
          <w:iCs/>
          <w:sz w:val="24"/>
          <w:lang w:val="sr-Cyrl-RS"/>
        </w:rPr>
        <w:t xml:space="preserve">, </w:t>
      </w:r>
      <w:r>
        <w:rPr>
          <w:i/>
          <w:iCs/>
          <w:sz w:val="24"/>
          <w:lang w:val="sr-Cyrl-RS"/>
        </w:rPr>
        <w:t>može</w:t>
      </w:r>
      <w:r w:rsidR="004307AE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se</w:t>
      </w:r>
      <w:r w:rsidR="004307AE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razmotriti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izričito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ograničavanje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podataka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dostupnih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Komisiji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za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reviziju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na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one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koji</w:t>
      </w:r>
      <w:r w:rsidR="004307AE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su</w:t>
      </w:r>
      <w:r w:rsidR="004307AE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relevantni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za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sprovođenje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revizije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ispunjavanje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njenog</w:t>
      </w:r>
      <w:r w:rsidR="00AA7F80" w:rsidRPr="00D47CF2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mandata</w:t>
      </w:r>
      <w:r w:rsidR="00AA7F80" w:rsidRPr="00D47CF2">
        <w:rPr>
          <w:i/>
          <w:iCs/>
          <w:sz w:val="24"/>
          <w:lang w:val="sr-Cyrl-RS"/>
        </w:rPr>
        <w:t>“.</w:t>
      </w:r>
      <w:r w:rsidR="00AA7F80" w:rsidRPr="00A54F50">
        <w:rPr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Međutim</w:t>
      </w:r>
      <w:r w:rsidR="00AA7F80" w:rsidRPr="00D47CF2">
        <w:rPr>
          <w:b/>
          <w:bCs/>
          <w:sz w:val="24"/>
          <w:lang w:val="sr-Cyrl-RS"/>
        </w:rPr>
        <w:t xml:space="preserve">, </w:t>
      </w:r>
      <w:r>
        <w:rPr>
          <w:b/>
          <w:bCs/>
          <w:sz w:val="24"/>
          <w:lang w:val="sr-Cyrl-RS"/>
        </w:rPr>
        <w:t>ova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preporuka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nije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adresirana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ažuriranom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Nacrtu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zakona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vezi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sa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davanjem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informacija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RIK</w:t>
      </w:r>
      <w:r w:rsidR="00AA7F80" w:rsidRPr="00D47CF2">
        <w:rPr>
          <w:b/>
          <w:bCs/>
          <w:sz w:val="24"/>
          <w:lang w:val="sr-Cyrl-RS"/>
        </w:rPr>
        <w:t>-</w:t>
      </w:r>
      <w:r>
        <w:rPr>
          <w:b/>
          <w:bCs/>
          <w:sz w:val="24"/>
          <w:lang w:val="sr-Cyrl-RS"/>
        </w:rPr>
        <w:t>u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i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Komisiji</w:t>
      </w:r>
      <w:r w:rsidR="00E578A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</w:t>
      </w:r>
      <w:r w:rsidR="00E578A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reviziju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od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strane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javnih</w:t>
      </w:r>
      <w:r w:rsidR="00AA7F80" w:rsidRPr="00D47CF2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organa</w:t>
      </w:r>
      <w:r w:rsidR="00AA7F80" w:rsidRPr="00A54F50">
        <w:rPr>
          <w:sz w:val="24"/>
          <w:lang w:val="sr-Cyrl-RS"/>
        </w:rPr>
        <w:t>.</w:t>
      </w:r>
    </w:p>
    <w:p w14:paraId="2935DA4A" w14:textId="77777777" w:rsidR="00843802" w:rsidRPr="00A54F50" w:rsidRDefault="00843802">
      <w:pPr>
        <w:pStyle w:val="BodyText"/>
        <w:ind w:left="0"/>
        <w:rPr>
          <w:b/>
          <w:sz w:val="20"/>
          <w:lang w:val="sr-Cyrl-RS"/>
        </w:rPr>
      </w:pPr>
    </w:p>
    <w:p w14:paraId="5F769FB1" w14:textId="10FEAE83" w:rsidR="00AA7F80" w:rsidRPr="00D47CF2" w:rsidRDefault="00AA7F80" w:rsidP="00AA7F80">
      <w:pPr>
        <w:pStyle w:val="ListParagraph"/>
        <w:rPr>
          <w:b/>
          <w:bCs/>
          <w:i/>
          <w:iCs/>
          <w:sz w:val="24"/>
          <w:lang w:val="sr-Cyrl-RS"/>
        </w:rPr>
      </w:pPr>
      <w:bookmarkStart w:id="7" w:name="_bookmark12"/>
      <w:bookmarkEnd w:id="7"/>
      <w:r w:rsidRPr="00A54F50">
        <w:rPr>
          <w:sz w:val="24"/>
          <w:lang w:val="sr-Cyrl-RS"/>
        </w:rPr>
        <w:t xml:space="preserve">25. </w:t>
      </w:r>
      <w:r w:rsidR="00D47CF2">
        <w:rPr>
          <w:sz w:val="24"/>
        </w:rPr>
        <w:t xml:space="preserve">    </w:t>
      </w:r>
      <w:r w:rsidR="006E6361">
        <w:rPr>
          <w:sz w:val="24"/>
          <w:lang w:val="sr-Cyrl-RS"/>
        </w:rPr>
        <w:t>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Mišljenju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iz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marta</w:t>
      </w:r>
      <w:r w:rsidRPr="00A54F50">
        <w:rPr>
          <w:sz w:val="24"/>
          <w:lang w:val="sr-Cyrl-RS"/>
        </w:rPr>
        <w:t xml:space="preserve"> 2025. </w:t>
      </w:r>
      <w:r w:rsidR="006E6361">
        <w:rPr>
          <w:sz w:val="24"/>
          <w:lang w:val="sr-Cyrl-RS"/>
        </w:rPr>
        <w:t>godine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navedeno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Pr="00D47CF2">
        <w:rPr>
          <w:i/>
          <w:iCs/>
          <w:sz w:val="24"/>
          <w:lang w:val="sr-Cyrl-RS"/>
        </w:rPr>
        <w:t>„</w:t>
      </w:r>
      <w:r w:rsidR="006E6361">
        <w:rPr>
          <w:i/>
          <w:iCs/>
          <w:sz w:val="24"/>
          <w:lang w:val="sr-Cyrl-RS"/>
        </w:rPr>
        <w:t>Radi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pravne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sigurnosti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i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povećanja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transparentnosti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rada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Komisije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za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reviziju</w:t>
      </w:r>
      <w:r w:rsidR="00F2710F" w:rsidRPr="00F2710F">
        <w:rPr>
          <w:i/>
          <w:iCs/>
          <w:sz w:val="24"/>
          <w:lang w:val="sr-Cyrl-RS"/>
        </w:rPr>
        <w:t xml:space="preserve">, </w:t>
      </w:r>
      <w:r w:rsidR="006E6361">
        <w:rPr>
          <w:i/>
          <w:iCs/>
          <w:sz w:val="24"/>
          <w:lang w:val="sr-Cyrl-RS"/>
        </w:rPr>
        <w:t>preporučuje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se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da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se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Komisija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obaveže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da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donese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regulatorni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i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proceduralni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okvir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u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utvrđenom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roku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nakon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što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bude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pupotpuno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oformljena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i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da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ga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odmah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objavi</w:t>
      </w:r>
      <w:r w:rsidR="00F2710F" w:rsidRPr="00F2710F">
        <w:rPr>
          <w:i/>
          <w:iCs/>
          <w:sz w:val="24"/>
          <w:lang w:val="sr-Cyrl-RS"/>
        </w:rPr>
        <w:t xml:space="preserve">. </w:t>
      </w:r>
      <w:r w:rsidR="006E6361">
        <w:rPr>
          <w:i/>
          <w:iCs/>
          <w:sz w:val="24"/>
          <w:lang w:val="sr-Cyrl-RS"/>
        </w:rPr>
        <w:t>Može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se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razmotriti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i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mogućnost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uspostavljanja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nezavisne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internet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stranice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Komisije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za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reviziju</w:t>
      </w:r>
      <w:r w:rsidR="00F2710F" w:rsidRPr="00F2710F">
        <w:rPr>
          <w:i/>
          <w:iCs/>
          <w:sz w:val="24"/>
          <w:lang w:val="sr-Cyrl-RS"/>
        </w:rPr>
        <w:t xml:space="preserve">, </w:t>
      </w:r>
      <w:r w:rsidR="006E6361">
        <w:rPr>
          <w:i/>
          <w:iCs/>
          <w:sz w:val="24"/>
          <w:lang w:val="sr-Cyrl-RS"/>
        </w:rPr>
        <w:t>umesto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da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se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ona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oslanja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na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Narodnu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skupštinu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za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objavljivanje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svojih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odluka</w:t>
      </w:r>
      <w:r w:rsidR="00F2710F" w:rsidRPr="00F2710F">
        <w:rPr>
          <w:i/>
          <w:iCs/>
          <w:sz w:val="24"/>
          <w:lang w:val="sr-Cyrl-RS"/>
        </w:rPr>
        <w:t xml:space="preserve">, </w:t>
      </w:r>
      <w:r w:rsidR="006E6361">
        <w:rPr>
          <w:i/>
          <w:iCs/>
          <w:sz w:val="24"/>
          <w:lang w:val="sr-Cyrl-RS"/>
        </w:rPr>
        <w:t>izveštaja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i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drugih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relevantnih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informacija</w:t>
      </w:r>
      <w:r w:rsidR="00F2710F" w:rsidRPr="00F2710F">
        <w:rPr>
          <w:i/>
          <w:iCs/>
          <w:sz w:val="24"/>
          <w:lang w:val="sr-Cyrl-RS"/>
        </w:rPr>
        <w:t xml:space="preserve">, </w:t>
      </w:r>
      <w:r w:rsidR="006E6361">
        <w:rPr>
          <w:i/>
          <w:iCs/>
          <w:sz w:val="24"/>
          <w:lang w:val="sr-Cyrl-RS"/>
        </w:rPr>
        <w:t>kako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je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predviđeno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Predlogom</w:t>
      </w:r>
      <w:r w:rsidR="00F2710F" w:rsidRPr="00F2710F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zakona</w:t>
      </w:r>
      <w:r w:rsidR="00F2710F" w:rsidRPr="00F2710F">
        <w:rPr>
          <w:sz w:val="24"/>
          <w:lang w:val="sr-Cyrl-RS"/>
        </w:rPr>
        <w:t>.“</w:t>
      </w:r>
      <w:r w:rsidRPr="00A54F50">
        <w:rPr>
          <w:sz w:val="24"/>
          <w:lang w:val="sr-Cyrl-RS"/>
        </w:rPr>
        <w:t xml:space="preserve">. </w:t>
      </w:r>
      <w:r w:rsidR="006E6361">
        <w:rPr>
          <w:sz w:val="24"/>
          <w:lang w:val="sr-Cyrl-RS"/>
        </w:rPr>
        <w:t>S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tim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vezi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ažuriranim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Nacrtom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zakona</w:t>
      </w:r>
      <w:r w:rsidRPr="00A54F50">
        <w:rPr>
          <w:sz w:val="24"/>
          <w:lang w:val="sr-Cyrl-RS"/>
        </w:rPr>
        <w:t xml:space="preserve"> (</w:t>
      </w:r>
      <w:r w:rsidR="006E6361">
        <w:rPr>
          <w:sz w:val="24"/>
          <w:lang w:val="sr-Cyrl-RS"/>
        </w:rPr>
        <w:t>član</w:t>
      </w:r>
      <w:r w:rsidRPr="00A54F50">
        <w:rPr>
          <w:sz w:val="24"/>
          <w:lang w:val="sr-Cyrl-RS"/>
        </w:rPr>
        <w:t xml:space="preserve"> 4/</w:t>
      </w:r>
      <w:r w:rsidR="006E6361">
        <w:rPr>
          <w:sz w:val="24"/>
          <w:lang w:val="sr-Cyrl-RS"/>
        </w:rPr>
        <w:t>poslednji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stav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novog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člana</w:t>
      </w:r>
      <w:r w:rsidRPr="00A54F50">
        <w:rPr>
          <w:sz w:val="24"/>
          <w:lang w:val="sr-Cyrl-RS"/>
        </w:rPr>
        <w:t xml:space="preserve"> 22</w:t>
      </w:r>
      <w:r w:rsidR="006E6361">
        <w:rPr>
          <w:sz w:val="24"/>
          <w:lang w:val="sr-Cyrl-RS"/>
        </w:rPr>
        <w:t>b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ZJBS</w:t>
      </w:r>
      <w:r w:rsidRPr="00A54F50">
        <w:rPr>
          <w:sz w:val="24"/>
          <w:lang w:val="sr-Cyrl-RS"/>
        </w:rPr>
        <w:t xml:space="preserve">) </w:t>
      </w:r>
      <w:r w:rsidR="006E6361">
        <w:rPr>
          <w:sz w:val="24"/>
          <w:lang w:val="sr-Cyrl-RS"/>
        </w:rPr>
        <w:t>određuje</w:t>
      </w:r>
      <w:r w:rsidR="00F2710F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nadležnost</w:t>
      </w:r>
      <w:r w:rsidR="00F2710F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RIK</w:t>
      </w:r>
      <w:r w:rsidRPr="00A54F50">
        <w:rPr>
          <w:sz w:val="24"/>
          <w:lang w:val="sr-Cyrl-RS"/>
        </w:rPr>
        <w:t>-</w:t>
      </w:r>
      <w:r w:rsidR="006E6361">
        <w:rPr>
          <w:sz w:val="24"/>
          <w:lang w:val="sr-Cyrl-RS"/>
        </w:rPr>
        <w:t>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aktom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detaljno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reguliše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postupak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biračkog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spiska</w:t>
      </w:r>
      <w:r w:rsidRPr="00A54F50">
        <w:rPr>
          <w:sz w:val="24"/>
          <w:lang w:val="sr-Cyrl-RS"/>
        </w:rPr>
        <w:t xml:space="preserve">. </w:t>
      </w:r>
      <w:r w:rsidR="006E6361">
        <w:rPr>
          <w:b/>
          <w:bCs/>
          <w:sz w:val="24"/>
          <w:lang w:val="sr-Cyrl-RS"/>
        </w:rPr>
        <w:t>Ova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odredba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zadovoljava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gore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navedenu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preporuku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u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vezi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sa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procesom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periodične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revizije</w:t>
      </w:r>
      <w:r w:rsidRPr="00D47CF2">
        <w:rPr>
          <w:b/>
          <w:bCs/>
          <w:sz w:val="24"/>
          <w:lang w:val="sr-Cyrl-RS"/>
        </w:rPr>
        <w:t xml:space="preserve">, </w:t>
      </w:r>
      <w:r w:rsidR="006E6361">
        <w:rPr>
          <w:b/>
          <w:bCs/>
          <w:sz w:val="24"/>
          <w:lang w:val="sr-Cyrl-RS"/>
        </w:rPr>
        <w:t>ali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ne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postoji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jasna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odgovarajuća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odredba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za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Komisiju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za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reviziju</w:t>
      </w:r>
      <w:r w:rsidR="00F2710F">
        <w:rPr>
          <w:b/>
          <w:bCs/>
          <w:sz w:val="24"/>
          <w:lang w:val="sr-Cyrl-RS"/>
        </w:rPr>
        <w:t xml:space="preserve">, 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da</w:t>
      </w:r>
      <w:r w:rsidR="00F2710F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blagovremeno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donese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propise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za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njeno</w:t>
      </w:r>
      <w:r w:rsidR="00F2710F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sprovođenje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jednokratne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prve</w:t>
      </w:r>
      <w:r w:rsidRPr="00D47CF2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revizije</w:t>
      </w:r>
      <w:r w:rsidRPr="00A54F50">
        <w:rPr>
          <w:sz w:val="24"/>
          <w:lang w:val="sr-Cyrl-RS"/>
        </w:rPr>
        <w:t xml:space="preserve">. </w:t>
      </w:r>
      <w:r w:rsidR="006E6361">
        <w:rPr>
          <w:sz w:val="24"/>
          <w:lang w:val="sr-Cyrl-RS"/>
        </w:rPr>
        <w:t>Naime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nije</w:t>
      </w:r>
      <w:r w:rsidR="00BD1E9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jasno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li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nadležnost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RIK</w:t>
      </w:r>
      <w:r w:rsidRPr="00A54F50">
        <w:rPr>
          <w:sz w:val="24"/>
          <w:lang w:val="sr-Cyrl-RS"/>
        </w:rPr>
        <w:t>-</w:t>
      </w:r>
      <w:r w:rsidR="006E6361">
        <w:rPr>
          <w:sz w:val="24"/>
          <w:lang w:val="sr-Cyrl-RS"/>
        </w:rPr>
        <w:t>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donosi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propise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postupku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odnosi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Komisiju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reviziju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odnosno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li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član</w:t>
      </w:r>
      <w:r w:rsidRPr="00A54F50">
        <w:rPr>
          <w:sz w:val="24"/>
          <w:lang w:val="sr-Cyrl-RS"/>
        </w:rPr>
        <w:t xml:space="preserve"> 8. </w:t>
      </w:r>
      <w:r w:rsidR="006E6361">
        <w:rPr>
          <w:sz w:val="24"/>
          <w:lang w:val="sr-Cyrl-RS"/>
        </w:rPr>
        <w:t>ažuriranog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Nacrta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zakona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koji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Komisiji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ista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ovlašćenja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kao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RIK</w:t>
      </w:r>
      <w:r w:rsidR="00BD1E94">
        <w:rPr>
          <w:sz w:val="24"/>
          <w:lang w:val="sr-Cyrl-RS"/>
        </w:rPr>
        <w:t>-</w:t>
      </w:r>
      <w:r w:rsidR="006E6361">
        <w:rPr>
          <w:sz w:val="24"/>
          <w:lang w:val="sr-Cyrl-RS"/>
        </w:rPr>
        <w:t>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vršenju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primenjuje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donošenje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propisa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vršenju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revizije</w:t>
      </w:r>
      <w:r w:rsidRPr="00A54F50">
        <w:rPr>
          <w:sz w:val="24"/>
          <w:lang w:val="sr-Cyrl-RS"/>
        </w:rPr>
        <w:t xml:space="preserve">. </w:t>
      </w:r>
      <w:r w:rsidR="006E6361">
        <w:rPr>
          <w:b/>
          <w:bCs/>
          <w:i/>
          <w:iCs/>
          <w:sz w:val="24"/>
          <w:lang w:val="sr-Cyrl-RS"/>
        </w:rPr>
        <w:t>Stoga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se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preporučuje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da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se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Nacrtom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zakona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pojasni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da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Komisija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za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reviziju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treba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da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donese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regulatorni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i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proceduralni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okvir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za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sprovođenje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svoje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jednokratne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revizije</w:t>
      </w:r>
      <w:r w:rsidRPr="00D47CF2">
        <w:rPr>
          <w:b/>
          <w:bCs/>
          <w:i/>
          <w:iCs/>
          <w:sz w:val="24"/>
          <w:lang w:val="sr-Cyrl-RS"/>
        </w:rPr>
        <w:t>.</w:t>
      </w:r>
    </w:p>
    <w:p w14:paraId="64D92BC1" w14:textId="7EFF6BCF" w:rsidR="00AA7F80" w:rsidRPr="00A54F50" w:rsidRDefault="00AA7F80" w:rsidP="00AA7F80">
      <w:pPr>
        <w:pStyle w:val="ListParagraph"/>
        <w:rPr>
          <w:sz w:val="24"/>
          <w:lang w:val="sr-Cyrl-RS"/>
        </w:rPr>
      </w:pPr>
      <w:r w:rsidRPr="00A54F50">
        <w:rPr>
          <w:sz w:val="24"/>
          <w:lang w:val="sr-Cyrl-RS"/>
        </w:rPr>
        <w:t>26.</w:t>
      </w:r>
      <w:r w:rsidR="00D47CF2">
        <w:rPr>
          <w:sz w:val="24"/>
        </w:rPr>
        <w:t xml:space="preserve">      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Ažurirani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Nacrt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zakona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predviđa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novi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mandat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RIK</w:t>
      </w:r>
      <w:r w:rsidRPr="00A54F50">
        <w:rPr>
          <w:sz w:val="24"/>
          <w:lang w:val="sr-Cyrl-RS"/>
        </w:rPr>
        <w:t>-</w:t>
      </w:r>
      <w:r w:rsidR="006E6361">
        <w:rPr>
          <w:sz w:val="24"/>
          <w:lang w:val="sr-Cyrl-RS"/>
        </w:rPr>
        <w:t>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="00436691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vrši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JBS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stupa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snagu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po</w:t>
      </w:r>
      <w:r w:rsidRPr="00A54F50">
        <w:rPr>
          <w:sz w:val="24"/>
          <w:lang w:val="sr-Cyrl-RS"/>
        </w:rPr>
        <w:t xml:space="preserve"> „</w:t>
      </w:r>
      <w:r w:rsidR="006E6361">
        <w:rPr>
          <w:sz w:val="24"/>
          <w:lang w:val="sr-Cyrl-RS"/>
        </w:rPr>
        <w:t>prestanku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mandata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Komisije</w:t>
      </w:r>
      <w:r w:rsidRPr="00A54F50">
        <w:rPr>
          <w:sz w:val="24"/>
          <w:lang w:val="sr-Cyrl-RS"/>
        </w:rPr>
        <w:t>” (</w:t>
      </w:r>
      <w:r w:rsidR="006E6361">
        <w:rPr>
          <w:sz w:val="24"/>
          <w:lang w:val="sr-Cyrl-RS"/>
        </w:rPr>
        <w:t>član</w:t>
      </w:r>
      <w:r w:rsidRPr="00A54F50">
        <w:rPr>
          <w:sz w:val="24"/>
          <w:lang w:val="sr-Cyrl-RS"/>
        </w:rPr>
        <w:t xml:space="preserve"> 28. </w:t>
      </w:r>
      <w:r w:rsidR="006E6361">
        <w:rPr>
          <w:sz w:val="24"/>
          <w:lang w:val="sr-Cyrl-RS"/>
        </w:rPr>
        <w:t>ažuriranog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Nacrta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zakona</w:t>
      </w:r>
      <w:r w:rsidRPr="00A54F50">
        <w:rPr>
          <w:sz w:val="24"/>
          <w:lang w:val="sr-Cyrl-RS"/>
        </w:rPr>
        <w:t xml:space="preserve">). </w:t>
      </w:r>
      <w:r w:rsidR="006E6361">
        <w:rPr>
          <w:sz w:val="24"/>
          <w:lang w:val="sr-Cyrl-RS"/>
        </w:rPr>
        <w:t>Čini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to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znači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nakon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isteka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mandata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Komisije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vrši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jednokratnu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JBS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skladu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članom</w:t>
      </w:r>
      <w:r w:rsidRPr="00A54F50">
        <w:rPr>
          <w:sz w:val="24"/>
          <w:lang w:val="sr-Cyrl-RS"/>
        </w:rPr>
        <w:t xml:space="preserve"> 11. </w:t>
      </w:r>
      <w:r w:rsidR="006E6361">
        <w:rPr>
          <w:sz w:val="24"/>
          <w:lang w:val="sr-Cyrl-RS"/>
        </w:rPr>
        <w:t>ažuriranog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Nacrta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zakona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počinje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mandat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RIK</w:t>
      </w:r>
      <w:r w:rsidRPr="00A54F50">
        <w:rPr>
          <w:sz w:val="24"/>
          <w:lang w:val="sr-Cyrl-RS"/>
        </w:rPr>
        <w:t>-</w:t>
      </w:r>
      <w:r w:rsidR="006E6361">
        <w:rPr>
          <w:sz w:val="24"/>
          <w:lang w:val="sr-Cyrl-RS"/>
        </w:rPr>
        <w:t>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vrši</w:t>
      </w:r>
      <w:r w:rsidRPr="00A54F50">
        <w:rPr>
          <w:sz w:val="24"/>
          <w:lang w:val="sr-Cyrl-RS"/>
        </w:rPr>
        <w:t xml:space="preserve"> (</w:t>
      </w:r>
      <w:r w:rsidR="006E6361">
        <w:rPr>
          <w:sz w:val="24"/>
          <w:lang w:val="sr-Cyrl-RS"/>
        </w:rPr>
        <w:t>periodične</w:t>
      </w:r>
      <w:r w:rsidRPr="00A54F50">
        <w:rPr>
          <w:sz w:val="24"/>
          <w:lang w:val="sr-Cyrl-RS"/>
        </w:rPr>
        <w:t xml:space="preserve">) </w:t>
      </w:r>
      <w:r w:rsidR="006E6361">
        <w:rPr>
          <w:sz w:val="24"/>
          <w:lang w:val="sr-Cyrl-RS"/>
        </w:rPr>
        <w:t>revizije</w:t>
      </w:r>
      <w:r w:rsidRPr="00A54F50">
        <w:rPr>
          <w:sz w:val="24"/>
          <w:lang w:val="sr-Cyrl-RS"/>
        </w:rPr>
        <w:t xml:space="preserve">. </w:t>
      </w:r>
      <w:r w:rsidR="006E6361">
        <w:rPr>
          <w:sz w:val="24"/>
          <w:lang w:val="sr-Cyrl-RS"/>
        </w:rPr>
        <w:t>Međutim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kako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oba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organa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komisije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formulacija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odredbe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nije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sasvim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jasna</w:t>
      </w:r>
      <w:r w:rsidRPr="00A54F50">
        <w:rPr>
          <w:sz w:val="24"/>
          <w:lang w:val="sr-Cyrl-RS"/>
        </w:rPr>
        <w:t xml:space="preserve">. </w:t>
      </w:r>
      <w:r w:rsidR="006E6361">
        <w:rPr>
          <w:sz w:val="24"/>
          <w:lang w:val="sr-Cyrl-RS"/>
        </w:rPr>
        <w:t>S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tim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vezi</w:t>
      </w:r>
      <w:r w:rsidRPr="00A54F50">
        <w:rPr>
          <w:sz w:val="24"/>
          <w:lang w:val="sr-Cyrl-RS"/>
        </w:rPr>
        <w:t xml:space="preserve">, </w:t>
      </w:r>
      <w:r w:rsidR="006E6361">
        <w:rPr>
          <w:b/>
          <w:bCs/>
          <w:i/>
          <w:iCs/>
          <w:sz w:val="24"/>
          <w:lang w:val="sr-Cyrl-RS"/>
        </w:rPr>
        <w:t>preporučuje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se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da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se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u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članu</w:t>
      </w:r>
      <w:r w:rsidRPr="00D47CF2">
        <w:rPr>
          <w:b/>
          <w:bCs/>
          <w:i/>
          <w:iCs/>
          <w:sz w:val="24"/>
          <w:lang w:val="sr-Cyrl-RS"/>
        </w:rPr>
        <w:t xml:space="preserve"> 28 </w:t>
      </w:r>
      <w:r w:rsidR="006E6361">
        <w:rPr>
          <w:b/>
          <w:bCs/>
          <w:i/>
          <w:iCs/>
          <w:sz w:val="24"/>
          <w:lang w:val="sr-Cyrl-RS"/>
        </w:rPr>
        <w:t>ažuriranog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Nacrta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zakona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pojasni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da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se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upućivanje</w:t>
      </w:r>
      <w:r w:rsidR="00AA59BD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na</w:t>
      </w:r>
      <w:r w:rsidRPr="00D47CF2">
        <w:rPr>
          <w:b/>
          <w:bCs/>
          <w:i/>
          <w:iCs/>
          <w:sz w:val="24"/>
          <w:lang w:val="sr-Cyrl-RS"/>
        </w:rPr>
        <w:t xml:space="preserve"> „</w:t>
      </w:r>
      <w:r w:rsidR="006E6361">
        <w:rPr>
          <w:b/>
          <w:bCs/>
          <w:i/>
          <w:iCs/>
          <w:sz w:val="24"/>
          <w:lang w:val="sr-Cyrl-RS"/>
        </w:rPr>
        <w:t>mandata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Komisije</w:t>
      </w:r>
      <w:r w:rsidRPr="00D47CF2">
        <w:rPr>
          <w:b/>
          <w:bCs/>
          <w:i/>
          <w:iCs/>
          <w:sz w:val="24"/>
          <w:lang w:val="sr-Cyrl-RS"/>
        </w:rPr>
        <w:t xml:space="preserve">“ </w:t>
      </w:r>
      <w:r w:rsidR="006E6361">
        <w:rPr>
          <w:b/>
          <w:bCs/>
          <w:i/>
          <w:iCs/>
          <w:sz w:val="24"/>
          <w:lang w:val="sr-Cyrl-RS"/>
        </w:rPr>
        <w:t>odnosi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na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AA59BD">
        <w:rPr>
          <w:b/>
          <w:bCs/>
          <w:i/>
          <w:iCs/>
          <w:sz w:val="24"/>
          <w:lang w:val="sr-Latn-RS"/>
        </w:rPr>
        <w:t>ad hoc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lastRenderedPageBreak/>
        <w:t>privremenu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komisiju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formiranu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za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vršenje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jednokratne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revizije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u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skladu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sa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članom</w:t>
      </w:r>
      <w:r w:rsidRPr="00D47CF2">
        <w:rPr>
          <w:b/>
          <w:bCs/>
          <w:i/>
          <w:iCs/>
          <w:sz w:val="24"/>
          <w:lang w:val="sr-Cyrl-RS"/>
        </w:rPr>
        <w:t xml:space="preserve"> 6. </w:t>
      </w:r>
      <w:r w:rsidR="006E6361">
        <w:rPr>
          <w:b/>
          <w:bCs/>
          <w:i/>
          <w:iCs/>
          <w:sz w:val="24"/>
          <w:lang w:val="sr-Cyrl-RS"/>
        </w:rPr>
        <w:t>ažuriranog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Nacrta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zakona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i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da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se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ne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odnosi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na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mandat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Republičke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izborne</w:t>
      </w:r>
      <w:r w:rsidRPr="00D47CF2">
        <w:rPr>
          <w:b/>
          <w:bCs/>
          <w:i/>
          <w:iCs/>
          <w:sz w:val="24"/>
          <w:lang w:val="sr-Cyrl-RS"/>
        </w:rPr>
        <w:t xml:space="preserve"> </w:t>
      </w:r>
      <w:r w:rsidR="006E6361">
        <w:rPr>
          <w:b/>
          <w:bCs/>
          <w:i/>
          <w:iCs/>
          <w:sz w:val="24"/>
          <w:lang w:val="sr-Cyrl-RS"/>
        </w:rPr>
        <w:t>komisije</w:t>
      </w:r>
      <w:r w:rsidRPr="00A54F50">
        <w:rPr>
          <w:sz w:val="24"/>
          <w:lang w:val="sr-Cyrl-RS"/>
        </w:rPr>
        <w:t>.</w:t>
      </w:r>
    </w:p>
    <w:p w14:paraId="7A707EE0" w14:textId="772EF2ED" w:rsidR="00AA7F80" w:rsidRPr="00A54F50" w:rsidRDefault="00AA7F80" w:rsidP="00AA7F80">
      <w:pPr>
        <w:pStyle w:val="ListParagraph"/>
        <w:rPr>
          <w:sz w:val="24"/>
          <w:lang w:val="sr-Cyrl-RS"/>
        </w:rPr>
      </w:pPr>
      <w:r w:rsidRPr="00A54F50">
        <w:rPr>
          <w:sz w:val="24"/>
          <w:lang w:val="sr-Cyrl-RS"/>
        </w:rPr>
        <w:t xml:space="preserve">27. </w:t>
      </w:r>
      <w:r w:rsidR="008E5988">
        <w:rPr>
          <w:sz w:val="24"/>
        </w:rPr>
        <w:t xml:space="preserve">    </w:t>
      </w:r>
      <w:r w:rsidR="006E6361">
        <w:rPr>
          <w:sz w:val="24"/>
          <w:lang w:val="sr-Cyrl-RS"/>
        </w:rPr>
        <w:t>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sastavu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Komisije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reviziju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Mišljenju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iz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marta</w:t>
      </w:r>
      <w:r w:rsidRPr="00A54F50">
        <w:rPr>
          <w:sz w:val="24"/>
          <w:lang w:val="sr-Cyrl-RS"/>
        </w:rPr>
        <w:t xml:space="preserve"> 2025. </w:t>
      </w:r>
      <w:r w:rsidR="006E6361">
        <w:rPr>
          <w:sz w:val="24"/>
          <w:lang w:val="sr-Cyrl-RS"/>
        </w:rPr>
        <w:t>godine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navedeno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„</w:t>
      </w:r>
      <w:r w:rsidR="006E6361">
        <w:rPr>
          <w:bCs/>
          <w:i/>
          <w:color w:val="000000"/>
          <w:sz w:val="24"/>
          <w:lang w:val="sr-Cyrl-RS"/>
        </w:rPr>
        <w:t>Da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bi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se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obezbedila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stvarna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i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percipirana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nezavisnost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Komisije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za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reviziju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i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dobilo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poverenje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javnosti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u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njen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rad</w:t>
      </w:r>
      <w:r w:rsidR="00AA59BD" w:rsidRPr="00AA59BD">
        <w:rPr>
          <w:bCs/>
          <w:i/>
          <w:color w:val="000000"/>
          <w:sz w:val="24"/>
          <w:lang w:val="sr-Cyrl-RS"/>
        </w:rPr>
        <w:t xml:space="preserve">, </w:t>
      </w:r>
      <w:r w:rsidR="006E6361">
        <w:rPr>
          <w:bCs/>
          <w:i/>
          <w:color w:val="000000"/>
          <w:sz w:val="24"/>
          <w:lang w:val="sr-Cyrl-RS"/>
        </w:rPr>
        <w:t>preporučuje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se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da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pre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postizanja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saglasnosti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o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njenom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konačnom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sastavu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koji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će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biti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predložen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u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nacrtu</w:t>
      </w:r>
      <w:r w:rsidR="00AA59BD" w:rsidRPr="00AA59BD">
        <w:rPr>
          <w:bCs/>
          <w:i/>
          <w:color w:val="000000"/>
          <w:sz w:val="24"/>
          <w:lang w:val="sr-Cyrl-RS"/>
        </w:rPr>
        <w:t xml:space="preserve">, </w:t>
      </w:r>
      <w:r w:rsidR="006E6361">
        <w:rPr>
          <w:bCs/>
          <w:i/>
          <w:color w:val="000000"/>
          <w:sz w:val="24"/>
          <w:lang w:val="sr-Cyrl-RS"/>
        </w:rPr>
        <w:t>ova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tema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bude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predmet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inkluzivnih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konsultacija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između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vlasti</w:t>
      </w:r>
      <w:r w:rsidR="00AA59BD" w:rsidRPr="00AA59BD">
        <w:rPr>
          <w:bCs/>
          <w:i/>
          <w:color w:val="000000"/>
          <w:sz w:val="24"/>
          <w:lang w:val="sr-Cyrl-RS"/>
        </w:rPr>
        <w:t xml:space="preserve">, </w:t>
      </w:r>
      <w:r w:rsidR="006E6361">
        <w:rPr>
          <w:bCs/>
          <w:i/>
          <w:color w:val="000000"/>
          <w:sz w:val="24"/>
          <w:lang w:val="sr-Cyrl-RS"/>
        </w:rPr>
        <w:t>opozicije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i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civilnog</w:t>
      </w:r>
      <w:r w:rsidR="00AA59BD" w:rsidRPr="00AA59BD">
        <w:rPr>
          <w:bCs/>
          <w:i/>
          <w:color w:val="000000"/>
          <w:sz w:val="24"/>
          <w:lang w:val="sr-Cyrl-RS"/>
        </w:rPr>
        <w:t xml:space="preserve"> </w:t>
      </w:r>
      <w:r w:rsidR="006E6361">
        <w:rPr>
          <w:bCs/>
          <w:i/>
          <w:color w:val="000000"/>
          <w:sz w:val="24"/>
          <w:lang w:val="sr-Cyrl-RS"/>
        </w:rPr>
        <w:t>društva</w:t>
      </w:r>
      <w:r w:rsidRPr="00AA59BD">
        <w:rPr>
          <w:bCs/>
          <w:i/>
          <w:iCs/>
          <w:sz w:val="24"/>
          <w:lang w:val="sr-Cyrl-RS"/>
        </w:rPr>
        <w:t>.</w:t>
      </w:r>
      <w:r w:rsidR="00AA59BD">
        <w:rPr>
          <w:bCs/>
          <w:i/>
          <w:iCs/>
          <w:sz w:val="24"/>
          <w:lang w:val="sr-Cyrl-RS"/>
        </w:rPr>
        <w:t>“.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Ova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preporuka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delom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proistekla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iz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činjenice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zaseban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Nacrt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zakona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koji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ranije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predložila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CRTA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predložio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drugačiji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sastav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Komisije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od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onog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koji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naveden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prethodnoj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verziji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Nacrta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zakona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SNS</w:t>
      </w:r>
      <w:r w:rsidR="00AA59BD">
        <w:rPr>
          <w:sz w:val="24"/>
          <w:lang w:val="sr-Cyrl-RS"/>
        </w:rPr>
        <w:t>-</w:t>
      </w:r>
      <w:r w:rsidR="006E6361">
        <w:rPr>
          <w:sz w:val="24"/>
          <w:lang w:val="sr-Cyrl-RS"/>
        </w:rPr>
        <w:t>a</w:t>
      </w:r>
      <w:r w:rsidRPr="00A54F50">
        <w:rPr>
          <w:sz w:val="24"/>
          <w:lang w:val="sr-Cyrl-RS"/>
        </w:rPr>
        <w:t xml:space="preserve">. </w:t>
      </w:r>
      <w:r w:rsidR="006E6361">
        <w:rPr>
          <w:sz w:val="24"/>
          <w:lang w:val="sr-Cyrl-RS"/>
        </w:rPr>
        <w:t>Konkretno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nacrtu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CRTA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bilo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predloženo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devet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članova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od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kojih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tri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predlažu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vladajuća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većina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opozicija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organizacije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civilnog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društva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dok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predlogom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SNS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bilo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predloženo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deset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članova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od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kojih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pet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predlaže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skupštinska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većina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tri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opozicija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dva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grupe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građana</w:t>
      </w:r>
      <w:r w:rsidRPr="00A54F50">
        <w:rPr>
          <w:sz w:val="24"/>
          <w:lang w:val="sr-Cyrl-RS"/>
        </w:rPr>
        <w:t xml:space="preserve">. </w:t>
      </w:r>
      <w:r w:rsidR="006E6361">
        <w:rPr>
          <w:sz w:val="24"/>
          <w:lang w:val="sr-Cyrl-RS"/>
        </w:rPr>
        <w:t>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Mišljenju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ODIHR</w:t>
      </w:r>
      <w:r w:rsidRPr="00A54F50">
        <w:rPr>
          <w:sz w:val="24"/>
          <w:lang w:val="sr-Cyrl-RS"/>
        </w:rPr>
        <w:t>-</w:t>
      </w:r>
      <w:r w:rsidR="006E6361">
        <w:rPr>
          <w:sz w:val="24"/>
          <w:lang w:val="sr-Cyrl-RS"/>
        </w:rPr>
        <w:t>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iz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marta</w:t>
      </w:r>
      <w:r w:rsidRPr="00A54F50">
        <w:rPr>
          <w:sz w:val="24"/>
          <w:lang w:val="sr-Cyrl-RS"/>
        </w:rPr>
        <w:t xml:space="preserve"> 2025. </w:t>
      </w:r>
      <w:r w:rsidR="006E6361">
        <w:rPr>
          <w:sz w:val="24"/>
          <w:lang w:val="sr-Cyrl-RS"/>
        </w:rPr>
        <w:t>godine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navedeno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bi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veća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nepristrasnost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balans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bili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osigurani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ako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bi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u</w:t>
      </w:r>
      <w:r w:rsidR="00AA59BD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njenom</w:t>
      </w:r>
      <w:r w:rsidR="00AA59BD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sastavu</w:t>
      </w:r>
      <w:r w:rsidR="00AA59BD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bio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sličan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broj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stručnjaka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imenovali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vlada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opozicija</w:t>
      </w:r>
      <w:r w:rsidRPr="00A54F50">
        <w:rPr>
          <w:sz w:val="24"/>
          <w:lang w:val="sr-Cyrl-RS"/>
        </w:rPr>
        <w:t xml:space="preserve"> – </w:t>
      </w:r>
      <w:r w:rsidR="006E6361">
        <w:rPr>
          <w:sz w:val="24"/>
          <w:lang w:val="sr-Cyrl-RS"/>
        </w:rPr>
        <w:t>kao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što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predložila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CRTA</w:t>
      </w:r>
      <w:r w:rsidRPr="00A54F50">
        <w:rPr>
          <w:sz w:val="24"/>
          <w:lang w:val="sr-Cyrl-RS"/>
        </w:rPr>
        <w:t xml:space="preserve"> – </w:t>
      </w:r>
      <w:r w:rsidR="006E6361">
        <w:rPr>
          <w:sz w:val="24"/>
          <w:lang w:val="sr-Cyrl-RS"/>
        </w:rPr>
        <w:t>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bi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povećan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broj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članova</w:t>
      </w:r>
      <w:r w:rsidR="00AA59BD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koje</w:t>
      </w:r>
      <w:r w:rsidR="00AA59BD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imenuje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civilno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društvo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povećao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poverenje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javnosti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rad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Komisije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stvarnu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percipiranu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nezavisnost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revizije</w:t>
      </w:r>
      <w:r w:rsidRPr="00A54F50">
        <w:rPr>
          <w:sz w:val="24"/>
          <w:lang w:val="sr-Cyrl-RS"/>
        </w:rPr>
        <w:t>.</w:t>
      </w:r>
    </w:p>
    <w:p w14:paraId="4637ADDA" w14:textId="12A49864" w:rsidR="00AA7F80" w:rsidRPr="00A54F50" w:rsidRDefault="00AA7F80" w:rsidP="00643784">
      <w:pPr>
        <w:pStyle w:val="ListParagraph"/>
        <w:rPr>
          <w:sz w:val="24"/>
          <w:lang w:val="sr-Cyrl-RS"/>
        </w:rPr>
      </w:pPr>
      <w:r w:rsidRPr="00A54F50">
        <w:rPr>
          <w:sz w:val="24"/>
          <w:lang w:val="sr-Cyrl-RS"/>
        </w:rPr>
        <w:t xml:space="preserve">28. </w:t>
      </w:r>
      <w:r w:rsidR="008E5988">
        <w:rPr>
          <w:sz w:val="24"/>
        </w:rPr>
        <w:t xml:space="preserve">   </w:t>
      </w:r>
      <w:r w:rsidR="006E6361">
        <w:rPr>
          <w:sz w:val="24"/>
          <w:lang w:val="sr-Cyrl-RS"/>
        </w:rPr>
        <w:t>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vezi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gore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navedenom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preporukom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ODIHR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nema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nikakve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informacije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tome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li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ažurirani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Nacrt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zakona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prošao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inkluzivne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konsultacije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između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vlasti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opozicije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civilnog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društva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posebno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pogledu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sastava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Komisije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reviziju</w:t>
      </w:r>
      <w:r w:rsidRPr="00A54F50">
        <w:rPr>
          <w:sz w:val="24"/>
          <w:lang w:val="sr-Cyrl-RS"/>
        </w:rPr>
        <w:t xml:space="preserve">. </w:t>
      </w:r>
      <w:r w:rsidR="006E6361">
        <w:rPr>
          <w:sz w:val="24"/>
          <w:lang w:val="sr-Cyrl-RS"/>
        </w:rPr>
        <w:t>Napominje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se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međutim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ažurirani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Nacrt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zakona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sadrži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nikakve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izmene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predloženom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sastavu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Komisije</w:t>
      </w:r>
      <w:r w:rsidR="0064378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</w:t>
      </w:r>
      <w:r w:rsidR="0064378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reviziju</w:t>
      </w:r>
      <w:r w:rsidRPr="00A54F50">
        <w:rPr>
          <w:sz w:val="24"/>
          <w:lang w:val="sr-Cyrl-RS"/>
        </w:rPr>
        <w:t xml:space="preserve"> – </w:t>
      </w:r>
      <w:r w:rsidR="006E6361">
        <w:rPr>
          <w:sz w:val="24"/>
          <w:lang w:val="sr-Cyrl-RS"/>
        </w:rPr>
        <w:t>ni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pogledu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ravnoteže</w:t>
      </w:r>
      <w:r w:rsidR="0064378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političkih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predstavnika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dve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strane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niti</w:t>
      </w:r>
      <w:r w:rsidR="0064378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u</w:t>
      </w:r>
      <w:r w:rsidR="0064378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pogledu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stepena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uključenosti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članova</w:t>
      </w:r>
      <w:r w:rsidR="0064378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koje</w:t>
      </w:r>
      <w:r w:rsidR="0064378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imenuje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civilno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društvo</w:t>
      </w:r>
      <w:r w:rsidRPr="00A54F50">
        <w:rPr>
          <w:sz w:val="24"/>
          <w:lang w:val="sr-Cyrl-RS"/>
        </w:rPr>
        <w:t xml:space="preserve"> – </w:t>
      </w:r>
      <w:r w:rsidR="006E6361">
        <w:rPr>
          <w:sz w:val="24"/>
          <w:lang w:val="sr-Cyrl-RS"/>
        </w:rPr>
        <w:t>koja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dalje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predlaže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="0064378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bude</w:t>
      </w:r>
      <w:r w:rsidR="0064378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deset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članova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od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kojih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pet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predlaže</w:t>
      </w:r>
      <w:r w:rsidR="0064378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skupštinska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većina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tri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opozicija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dva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grupe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građana</w:t>
      </w:r>
      <w:r w:rsidRPr="00A54F50">
        <w:rPr>
          <w:sz w:val="24"/>
          <w:lang w:val="sr-Cyrl-RS"/>
        </w:rPr>
        <w:t xml:space="preserve">. </w:t>
      </w:r>
      <w:r w:rsidR="006E6361">
        <w:rPr>
          <w:b/>
          <w:bCs/>
          <w:sz w:val="24"/>
          <w:lang w:val="sr-Cyrl-RS"/>
        </w:rPr>
        <w:t>Shodno</w:t>
      </w:r>
      <w:r w:rsidR="00643784" w:rsidRPr="00643784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tome</w:t>
      </w:r>
      <w:r w:rsidRPr="008E5988">
        <w:rPr>
          <w:b/>
          <w:bCs/>
          <w:sz w:val="24"/>
          <w:lang w:val="sr-Cyrl-RS"/>
        </w:rPr>
        <w:t xml:space="preserve">, </w:t>
      </w:r>
      <w:r w:rsidR="006E6361">
        <w:rPr>
          <w:b/>
          <w:bCs/>
          <w:sz w:val="24"/>
          <w:lang w:val="sr-Cyrl-RS"/>
        </w:rPr>
        <w:t>smatra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se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da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gore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pomenuta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preporuka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nije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adresirana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u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ažuriranom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Nacrtu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zakona</w:t>
      </w:r>
      <w:r w:rsidRPr="00A54F50">
        <w:rPr>
          <w:sz w:val="24"/>
          <w:lang w:val="sr-Cyrl-RS"/>
        </w:rPr>
        <w:t>.</w:t>
      </w:r>
    </w:p>
    <w:p w14:paraId="511F896A" w14:textId="28DBA864" w:rsidR="00741B2F" w:rsidRPr="00741B2F" w:rsidRDefault="008E5988" w:rsidP="00741B2F">
      <w:pPr>
        <w:pStyle w:val="ListParagraph"/>
        <w:numPr>
          <w:ilvl w:val="0"/>
          <w:numId w:val="12"/>
        </w:numPr>
        <w:tabs>
          <w:tab w:val="left" w:pos="1427"/>
        </w:tabs>
        <w:spacing w:before="120"/>
        <w:ind w:right="704"/>
        <w:rPr>
          <w:sz w:val="24"/>
          <w:lang w:val="sr-Cyrl-RS"/>
        </w:rPr>
      </w:pPr>
      <w:r>
        <w:rPr>
          <w:sz w:val="24"/>
        </w:rPr>
        <w:t xml:space="preserve"> </w:t>
      </w:r>
      <w:r w:rsidR="006E6361">
        <w:rPr>
          <w:sz w:val="24"/>
          <w:lang w:val="sr-Cyrl-RS"/>
        </w:rPr>
        <w:t>U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Mišljenju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iz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marta</w:t>
      </w:r>
      <w:r w:rsidR="00AA7F80" w:rsidRPr="008E5988">
        <w:rPr>
          <w:sz w:val="24"/>
          <w:lang w:val="sr-Cyrl-RS"/>
        </w:rPr>
        <w:t xml:space="preserve"> 2025. </w:t>
      </w:r>
      <w:r w:rsidR="006E6361">
        <w:rPr>
          <w:sz w:val="24"/>
          <w:lang w:val="sr-Cyrl-RS"/>
        </w:rPr>
        <w:t>godine</w:t>
      </w:r>
      <w:r w:rsidR="00AA7F80" w:rsidRPr="008E5988">
        <w:rPr>
          <w:sz w:val="24"/>
          <w:lang w:val="sr-Cyrl-RS"/>
        </w:rPr>
        <w:t xml:space="preserve"> </w:t>
      </w:r>
      <w:r w:rsidR="00AA7F80" w:rsidRPr="008E5988">
        <w:rPr>
          <w:i/>
          <w:iCs/>
          <w:sz w:val="24"/>
          <w:lang w:val="sr-Cyrl-RS"/>
        </w:rPr>
        <w:t>„</w:t>
      </w:r>
      <w:r w:rsidR="006E6361">
        <w:rPr>
          <w:i/>
          <w:iCs/>
          <w:sz w:val="24"/>
          <w:lang w:val="sr-Cyrl-RS"/>
        </w:rPr>
        <w:t>preporučuje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se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da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se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predvidi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da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revizorski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tim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kao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celina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obavezno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mora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da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uključuje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kombinaciju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svih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potrebnih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veština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za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procenu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svih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revizorskih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metrika</w:t>
      </w:r>
      <w:r w:rsidR="00643784" w:rsidRPr="00643784">
        <w:rPr>
          <w:i/>
          <w:iCs/>
          <w:sz w:val="24"/>
          <w:lang w:val="sr-Cyrl-RS"/>
        </w:rPr>
        <w:t xml:space="preserve"> (</w:t>
      </w:r>
      <w:r w:rsidR="006E6361">
        <w:rPr>
          <w:i/>
          <w:iCs/>
          <w:sz w:val="24"/>
          <w:lang w:val="sr-Cyrl-RS"/>
        </w:rPr>
        <w:t>tehnološke</w:t>
      </w:r>
      <w:r w:rsidR="00643784" w:rsidRPr="00643784">
        <w:rPr>
          <w:i/>
          <w:iCs/>
          <w:sz w:val="24"/>
          <w:lang w:val="sr-Cyrl-RS"/>
        </w:rPr>
        <w:t xml:space="preserve">, </w:t>
      </w:r>
      <w:r w:rsidR="006E6361">
        <w:rPr>
          <w:i/>
          <w:iCs/>
          <w:sz w:val="24"/>
          <w:lang w:val="sr-Cyrl-RS"/>
        </w:rPr>
        <w:t>metodološke</w:t>
      </w:r>
      <w:r w:rsidR="00643784" w:rsidRPr="00643784">
        <w:rPr>
          <w:i/>
          <w:iCs/>
          <w:sz w:val="24"/>
          <w:lang w:val="sr-Cyrl-RS"/>
        </w:rPr>
        <w:t xml:space="preserve">, </w:t>
      </w:r>
      <w:r w:rsidR="006E6361">
        <w:rPr>
          <w:i/>
          <w:iCs/>
          <w:sz w:val="24"/>
          <w:lang w:val="sr-Cyrl-RS"/>
        </w:rPr>
        <w:t>komunikacione</w:t>
      </w:r>
      <w:r w:rsidR="00643784" w:rsidRPr="00643784">
        <w:rPr>
          <w:i/>
          <w:iCs/>
          <w:sz w:val="24"/>
          <w:lang w:val="sr-Cyrl-RS"/>
        </w:rPr>
        <w:t xml:space="preserve">, </w:t>
      </w:r>
      <w:r w:rsidR="006E6361">
        <w:rPr>
          <w:i/>
          <w:iCs/>
          <w:sz w:val="24"/>
          <w:lang w:val="sr-Cyrl-RS"/>
        </w:rPr>
        <w:t>IKT</w:t>
      </w:r>
      <w:r w:rsidR="00643784" w:rsidRPr="00643784">
        <w:rPr>
          <w:i/>
          <w:iCs/>
          <w:sz w:val="24"/>
          <w:lang w:val="sr-Cyrl-RS"/>
        </w:rPr>
        <w:t xml:space="preserve">, </w:t>
      </w:r>
      <w:r w:rsidR="006E6361">
        <w:rPr>
          <w:i/>
          <w:iCs/>
          <w:sz w:val="24"/>
          <w:lang w:val="sr-Cyrl-RS"/>
        </w:rPr>
        <w:t>baze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podataka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i</w:t>
      </w:r>
      <w:r w:rsidR="00643784" w:rsidRPr="00643784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pravne</w:t>
      </w:r>
      <w:r w:rsidR="00643784" w:rsidRPr="00643784">
        <w:rPr>
          <w:i/>
          <w:iCs/>
          <w:sz w:val="24"/>
          <w:lang w:val="sr-Cyrl-RS"/>
        </w:rPr>
        <w:t>).</w:t>
      </w:r>
      <w:r w:rsidR="00AA7F80" w:rsidRPr="008E5988">
        <w:rPr>
          <w:i/>
          <w:iCs/>
          <w:sz w:val="24"/>
          <w:lang w:val="sr-Cyrl-RS"/>
        </w:rPr>
        <w:t>“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Ova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preporuka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proistekla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iz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činjenice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ranija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verzija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Nacrta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zakona</w:t>
      </w:r>
      <w:r w:rsidR="00AA7F80" w:rsidRPr="008E5988">
        <w:rPr>
          <w:sz w:val="24"/>
          <w:lang w:val="sr-Cyrl-RS"/>
        </w:rPr>
        <w:t xml:space="preserve"> (</w:t>
      </w:r>
      <w:r w:rsidR="006E6361">
        <w:rPr>
          <w:sz w:val="24"/>
          <w:lang w:val="sr-Cyrl-RS"/>
        </w:rPr>
        <w:t>član</w:t>
      </w:r>
      <w:r w:rsidR="00AA7F80" w:rsidRPr="008E5988">
        <w:rPr>
          <w:sz w:val="24"/>
          <w:lang w:val="sr-Cyrl-RS"/>
        </w:rPr>
        <w:t xml:space="preserve"> 12) </w:t>
      </w:r>
      <w:r w:rsidR="006E6361">
        <w:rPr>
          <w:sz w:val="24"/>
          <w:lang w:val="sr-Cyrl-RS"/>
        </w:rPr>
        <w:t>utvrdila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kriterijume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stručnu</w:t>
      </w:r>
      <w:r w:rsidR="0064378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spremu</w:t>
      </w:r>
      <w:r w:rsidR="0064378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članova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Komisije</w:t>
      </w:r>
      <w:r w:rsidR="0064378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</w:t>
      </w:r>
      <w:r w:rsidR="0064378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reviziju</w:t>
      </w:r>
      <w:r w:rsidR="00AA7F80" w:rsidRPr="008E5988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ali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nije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obezbedila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ukupan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sastav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ima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kombinaciju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svih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potrebnih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veština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takvu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komisiju</w:t>
      </w:r>
      <w:r w:rsidR="00AA7F80" w:rsidRPr="008E5988">
        <w:rPr>
          <w:sz w:val="24"/>
          <w:lang w:val="sr-Cyrl-RS"/>
        </w:rPr>
        <w:t xml:space="preserve">. </w:t>
      </w:r>
      <w:r w:rsidR="006E6361">
        <w:rPr>
          <w:b/>
          <w:bCs/>
          <w:sz w:val="24"/>
          <w:lang w:val="sr-Cyrl-RS"/>
        </w:rPr>
        <w:t>Ažurirani</w:t>
      </w:r>
      <w:r w:rsidR="00AA7F80"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Nacrt</w:t>
      </w:r>
      <w:r w:rsidR="00AA7F80"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zakona</w:t>
      </w:r>
      <w:r w:rsidR="00AA7F80"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ne</w:t>
      </w:r>
      <w:r w:rsidR="00741B2F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ispunjava</w:t>
      </w:r>
      <w:r w:rsidR="00AA7F80"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ovu</w:t>
      </w:r>
      <w:r w:rsidR="00AA7F80"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preporuku</w:t>
      </w:r>
      <w:r w:rsidR="00AA7F80"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u</w:t>
      </w:r>
      <w:r w:rsidR="00AA7F80"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vezi</w:t>
      </w:r>
      <w:r w:rsidR="00AA7F80"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sa</w:t>
      </w:r>
      <w:r w:rsidR="00AA7F80"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stručnim</w:t>
      </w:r>
      <w:r w:rsidR="00AA7F80"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sastavom</w:t>
      </w:r>
      <w:r w:rsidR="00AA7F80"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Komisije</w:t>
      </w:r>
      <w:r w:rsidR="00AA7F80"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za</w:t>
      </w:r>
      <w:r w:rsidR="00AA7F80"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reviziju</w:t>
      </w:r>
      <w:r w:rsidR="00AA7F80" w:rsidRPr="008E5988">
        <w:rPr>
          <w:sz w:val="24"/>
          <w:lang w:val="sr-Cyrl-RS"/>
        </w:rPr>
        <w:t xml:space="preserve">. </w:t>
      </w:r>
      <w:r w:rsidR="006E6361">
        <w:rPr>
          <w:sz w:val="24"/>
          <w:lang w:val="sr-Cyrl-RS"/>
        </w:rPr>
        <w:t>Osim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toga</w:t>
      </w:r>
      <w:r w:rsidR="00AA7F80" w:rsidRPr="008E5988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poslednjim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stavom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člana</w:t>
      </w:r>
      <w:r w:rsidR="00AA7F80" w:rsidRPr="008E5988">
        <w:rPr>
          <w:sz w:val="24"/>
          <w:lang w:val="sr-Cyrl-RS"/>
        </w:rPr>
        <w:t xml:space="preserve"> 4. </w:t>
      </w:r>
      <w:r w:rsidR="006E6361">
        <w:rPr>
          <w:sz w:val="24"/>
          <w:lang w:val="sr-Cyrl-RS"/>
        </w:rPr>
        <w:t>ažuriranog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Nacrta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zakona</w:t>
      </w:r>
      <w:r w:rsidR="00AA7F80" w:rsidRPr="008E5988">
        <w:rPr>
          <w:sz w:val="24"/>
          <w:lang w:val="sr-Cyrl-RS"/>
        </w:rPr>
        <w:t xml:space="preserve"> (</w:t>
      </w:r>
      <w:r w:rsidR="006E6361">
        <w:rPr>
          <w:sz w:val="24"/>
          <w:lang w:val="sr-Cyrl-RS"/>
        </w:rPr>
        <w:t>novi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član</w:t>
      </w:r>
      <w:r w:rsidR="00AA7F80" w:rsidRPr="008E5988">
        <w:rPr>
          <w:sz w:val="24"/>
          <w:lang w:val="sr-Cyrl-RS"/>
        </w:rPr>
        <w:t xml:space="preserve"> 22</w:t>
      </w:r>
      <w:r w:rsidR="006E6361">
        <w:rPr>
          <w:sz w:val="24"/>
          <w:lang w:val="sr-Cyrl-RS"/>
        </w:rPr>
        <w:t>b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ZJBS</w:t>
      </w:r>
      <w:r w:rsidR="00AA7F80" w:rsidRPr="008E5988">
        <w:rPr>
          <w:sz w:val="24"/>
          <w:lang w:val="sr-Cyrl-RS"/>
        </w:rPr>
        <w:t xml:space="preserve">) </w:t>
      </w:r>
      <w:r w:rsidR="006E6361">
        <w:rPr>
          <w:sz w:val="24"/>
          <w:lang w:val="sr-Cyrl-RS"/>
        </w:rPr>
        <w:t>predviđeno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</w:t>
      </w:r>
      <w:r w:rsidR="00741B2F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="00AA7F80" w:rsidRPr="008E5988">
        <w:rPr>
          <w:sz w:val="24"/>
          <w:lang w:val="sr-Cyrl-RS"/>
        </w:rPr>
        <w:t xml:space="preserve"> „</w:t>
      </w:r>
      <w:r w:rsidR="006E6361">
        <w:rPr>
          <w:sz w:val="24"/>
          <w:lang w:val="sr-Cyrl-RS"/>
        </w:rPr>
        <w:t>za</w:t>
      </w:r>
      <w:r w:rsidR="00741B2F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svrhe</w:t>
      </w:r>
      <w:r w:rsidR="00741B2F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vršenja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revizije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biračkog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spiska</w:t>
      </w:r>
      <w:r w:rsidR="00AA7F80" w:rsidRPr="008E5988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RIK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može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angažuje</w:t>
      </w:r>
      <w:r w:rsidR="00AA7F80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samo</w:t>
      </w:r>
      <w:r w:rsidR="00741B2F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lica</w:t>
      </w:r>
      <w:r w:rsidR="00741B2F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koja</w:t>
      </w:r>
      <w:r w:rsidR="00741B2F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imaju</w:t>
      </w:r>
      <w:r w:rsidR="00741B2F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visoko</w:t>
      </w:r>
      <w:r w:rsidR="00741B2F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obrazovanje</w:t>
      </w:r>
      <w:r w:rsidR="009C62B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iz</w:t>
      </w:r>
      <w:r w:rsidR="00741B2F">
        <w:rPr>
          <w:sz w:val="24"/>
          <w:lang w:val="sr-Cyrl-RS"/>
        </w:rPr>
        <w:t xml:space="preserve"> </w:t>
      </w:r>
      <w:r w:rsidR="006E6361">
        <w:rPr>
          <w:sz w:val="24"/>
          <w:szCs w:val="24"/>
          <w:lang w:val="sr-Cyrl-RS"/>
        </w:rPr>
        <w:t>pravnih</w:t>
      </w:r>
      <w:r w:rsidR="00741B2F" w:rsidRPr="00741B2F">
        <w:rPr>
          <w:sz w:val="24"/>
          <w:szCs w:val="24"/>
          <w:lang w:val="sr-Cyrl-RS"/>
        </w:rPr>
        <w:t xml:space="preserve">, </w:t>
      </w:r>
      <w:r w:rsidR="006E6361">
        <w:rPr>
          <w:sz w:val="24"/>
          <w:szCs w:val="24"/>
          <w:lang w:val="sr-Cyrl-RS"/>
        </w:rPr>
        <w:t>matematičkih</w:t>
      </w:r>
      <w:r w:rsidR="00741B2F" w:rsidRPr="00741B2F">
        <w:rPr>
          <w:sz w:val="24"/>
          <w:szCs w:val="24"/>
          <w:lang w:val="sr-Cyrl-RS"/>
        </w:rPr>
        <w:t xml:space="preserve">, </w:t>
      </w:r>
      <w:r w:rsidR="006E6361">
        <w:rPr>
          <w:sz w:val="24"/>
          <w:szCs w:val="24"/>
          <w:lang w:val="sr-Cyrl-RS"/>
        </w:rPr>
        <w:t>demografskih</w:t>
      </w:r>
      <w:r w:rsidR="00741B2F" w:rsidRPr="00741B2F">
        <w:rPr>
          <w:sz w:val="24"/>
          <w:szCs w:val="24"/>
          <w:lang w:val="sr-Cyrl-RS"/>
        </w:rPr>
        <w:t xml:space="preserve">, </w:t>
      </w:r>
      <w:r w:rsidR="006E6361">
        <w:rPr>
          <w:sz w:val="24"/>
          <w:szCs w:val="24"/>
          <w:lang w:val="sr-Cyrl-RS"/>
        </w:rPr>
        <w:t>informacionih</w:t>
      </w:r>
      <w:r w:rsidR="00741B2F" w:rsidRPr="00741B2F">
        <w:rPr>
          <w:sz w:val="24"/>
          <w:szCs w:val="24"/>
          <w:lang w:val="sr-Cyrl-RS"/>
        </w:rPr>
        <w:t xml:space="preserve"> </w:t>
      </w:r>
      <w:r w:rsidR="006E6361">
        <w:rPr>
          <w:sz w:val="24"/>
          <w:szCs w:val="24"/>
          <w:lang w:val="sr-Cyrl-RS"/>
        </w:rPr>
        <w:t>ili</w:t>
      </w:r>
      <w:r w:rsidR="00741B2F" w:rsidRPr="00741B2F">
        <w:rPr>
          <w:sz w:val="24"/>
          <w:szCs w:val="24"/>
          <w:lang w:val="sr-Cyrl-RS"/>
        </w:rPr>
        <w:t xml:space="preserve"> </w:t>
      </w:r>
      <w:r w:rsidR="006E6361">
        <w:rPr>
          <w:sz w:val="24"/>
          <w:szCs w:val="24"/>
          <w:lang w:val="sr-Cyrl-RS"/>
        </w:rPr>
        <w:t>ekonomskih</w:t>
      </w:r>
      <w:r w:rsidR="00741B2F" w:rsidRPr="00741B2F">
        <w:rPr>
          <w:sz w:val="24"/>
          <w:szCs w:val="24"/>
          <w:lang w:val="sr-Cyrl-RS"/>
        </w:rPr>
        <w:t xml:space="preserve"> </w:t>
      </w:r>
      <w:r w:rsidR="006E6361">
        <w:rPr>
          <w:sz w:val="24"/>
          <w:szCs w:val="24"/>
          <w:lang w:val="sr-Cyrl-RS"/>
        </w:rPr>
        <w:t>nauka</w:t>
      </w:r>
      <w:r w:rsidR="00741B2F" w:rsidRPr="00741B2F">
        <w:rPr>
          <w:sz w:val="24"/>
          <w:szCs w:val="24"/>
          <w:lang w:val="sr-Cyrl-RS"/>
        </w:rPr>
        <w:t xml:space="preserve"> </w:t>
      </w:r>
      <w:r w:rsidR="006E6361">
        <w:rPr>
          <w:sz w:val="24"/>
          <w:szCs w:val="24"/>
          <w:lang w:val="sr-Cyrl-RS"/>
        </w:rPr>
        <w:t>ili</w:t>
      </w:r>
      <w:r w:rsidR="00741B2F" w:rsidRPr="00741B2F">
        <w:rPr>
          <w:sz w:val="24"/>
          <w:szCs w:val="24"/>
          <w:lang w:val="sr-Cyrl-RS"/>
        </w:rPr>
        <w:t xml:space="preserve"> </w:t>
      </w:r>
      <w:r w:rsidR="006E6361">
        <w:rPr>
          <w:sz w:val="24"/>
          <w:szCs w:val="24"/>
          <w:lang w:val="sr-Cyrl-RS"/>
        </w:rPr>
        <w:t>društveno</w:t>
      </w:r>
      <w:r w:rsidR="00741B2F" w:rsidRPr="00741B2F">
        <w:rPr>
          <w:sz w:val="24"/>
          <w:szCs w:val="24"/>
          <w:lang w:val="sr-Cyrl-RS"/>
        </w:rPr>
        <w:t>-</w:t>
      </w:r>
      <w:r w:rsidR="006E6361">
        <w:rPr>
          <w:sz w:val="24"/>
          <w:szCs w:val="24"/>
          <w:lang w:val="sr-Cyrl-RS"/>
        </w:rPr>
        <w:t>statističkih</w:t>
      </w:r>
      <w:r w:rsidR="00741B2F" w:rsidRPr="00741B2F">
        <w:rPr>
          <w:sz w:val="24"/>
          <w:szCs w:val="24"/>
          <w:lang w:val="sr-Cyrl-RS"/>
        </w:rPr>
        <w:t xml:space="preserve"> </w:t>
      </w:r>
      <w:r w:rsidR="006E6361">
        <w:rPr>
          <w:sz w:val="24"/>
          <w:szCs w:val="24"/>
          <w:lang w:val="sr-Cyrl-RS"/>
        </w:rPr>
        <w:t>i</w:t>
      </w:r>
      <w:r w:rsidR="00741B2F" w:rsidRPr="00741B2F">
        <w:rPr>
          <w:sz w:val="24"/>
          <w:szCs w:val="24"/>
          <w:lang w:val="sr-Cyrl-RS"/>
        </w:rPr>
        <w:t xml:space="preserve"> </w:t>
      </w:r>
      <w:r w:rsidR="006E6361">
        <w:rPr>
          <w:sz w:val="24"/>
          <w:szCs w:val="24"/>
          <w:lang w:val="sr-Cyrl-RS"/>
        </w:rPr>
        <w:t>drugih</w:t>
      </w:r>
      <w:r w:rsidR="00741B2F" w:rsidRPr="00741B2F">
        <w:rPr>
          <w:sz w:val="24"/>
          <w:szCs w:val="24"/>
          <w:lang w:val="sr-Cyrl-RS"/>
        </w:rPr>
        <w:t xml:space="preserve"> </w:t>
      </w:r>
      <w:r w:rsidR="006E6361">
        <w:rPr>
          <w:sz w:val="24"/>
          <w:szCs w:val="24"/>
          <w:lang w:val="sr-Cyrl-RS"/>
        </w:rPr>
        <w:t>srodnih</w:t>
      </w:r>
      <w:r w:rsidR="00741B2F" w:rsidRPr="00741B2F">
        <w:rPr>
          <w:sz w:val="24"/>
          <w:szCs w:val="24"/>
          <w:lang w:val="sr-Cyrl-RS"/>
        </w:rPr>
        <w:t xml:space="preserve"> </w:t>
      </w:r>
      <w:r w:rsidR="006E6361">
        <w:rPr>
          <w:sz w:val="24"/>
          <w:szCs w:val="24"/>
          <w:lang w:val="sr-Cyrl-RS"/>
        </w:rPr>
        <w:t>naučnih</w:t>
      </w:r>
      <w:r w:rsidR="00741B2F" w:rsidRPr="00741B2F">
        <w:rPr>
          <w:sz w:val="24"/>
          <w:szCs w:val="24"/>
          <w:lang w:val="sr-Cyrl-RS"/>
        </w:rPr>
        <w:t xml:space="preserve"> </w:t>
      </w:r>
      <w:r w:rsidR="006E6361">
        <w:rPr>
          <w:sz w:val="24"/>
          <w:szCs w:val="24"/>
          <w:lang w:val="sr-Cyrl-RS"/>
        </w:rPr>
        <w:t>oblasti</w:t>
      </w:r>
      <w:r w:rsidR="009C62B4">
        <w:rPr>
          <w:sz w:val="24"/>
          <w:szCs w:val="24"/>
          <w:lang w:val="sr-Cyrl-RS"/>
        </w:rPr>
        <w:t xml:space="preserve">, </w:t>
      </w:r>
      <w:r w:rsidR="006E6361">
        <w:rPr>
          <w:sz w:val="24"/>
          <w:lang w:val="sr-Cyrl-RS"/>
        </w:rPr>
        <w:t>što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ne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obavezuje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RIK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ni</w:t>
      </w:r>
      <w:r w:rsidR="009C62B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angažuje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bilo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kojeg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stručnjaka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u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vršenje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revizija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niti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obezbedi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uključivanje</w:t>
      </w:r>
      <w:r w:rsidR="009C62B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stručnjake</w:t>
      </w:r>
      <w:r w:rsidR="009C62B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koji</w:t>
      </w:r>
      <w:r w:rsidR="009C62B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zajedno</w:t>
      </w:r>
      <w:r w:rsidR="009C62B4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poseduju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kombinaciju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svih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neophodnih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veština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vršenje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takve</w:t>
      </w:r>
      <w:r w:rsidR="009C62B4"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revizije</w:t>
      </w:r>
      <w:r w:rsidR="00741B2F" w:rsidRPr="00741B2F">
        <w:rPr>
          <w:sz w:val="24"/>
          <w:szCs w:val="24"/>
          <w:lang w:val="sr-Cyrl-RS"/>
        </w:rPr>
        <w:t>.</w:t>
      </w:r>
    </w:p>
    <w:p w14:paraId="29057328" w14:textId="77777777" w:rsidR="00741B2F" w:rsidRPr="008E5988" w:rsidRDefault="00741B2F" w:rsidP="00741B2F">
      <w:pPr>
        <w:pStyle w:val="ListParagraph"/>
        <w:tabs>
          <w:tab w:val="left" w:pos="1427"/>
        </w:tabs>
        <w:spacing w:before="120"/>
        <w:ind w:left="1440" w:right="704" w:firstLine="0"/>
        <w:rPr>
          <w:sz w:val="24"/>
          <w:lang w:val="sr-Cyrl-RS"/>
        </w:rPr>
      </w:pPr>
    </w:p>
    <w:p w14:paraId="6B960C1B" w14:textId="77777777" w:rsidR="00843802" w:rsidRPr="00A54F50" w:rsidRDefault="00CE5810">
      <w:pPr>
        <w:pStyle w:val="BodyText"/>
        <w:spacing w:before="9"/>
        <w:ind w:left="0"/>
        <w:rPr>
          <w:sz w:val="18"/>
          <w:lang w:val="sr-Cyrl-RS"/>
        </w:rPr>
      </w:pPr>
      <w:r w:rsidRPr="00A54F50">
        <w:rPr>
          <w:noProof/>
          <w:sz w:val="18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CEA372A" wp14:editId="3052FF34">
                <wp:simplePos x="0" y="0"/>
                <wp:positionH relativeFrom="page">
                  <wp:posOffset>1150619</wp:posOffset>
                </wp:positionH>
                <wp:positionV relativeFrom="paragraph">
                  <wp:posOffset>154862</wp:posOffset>
                </wp:positionV>
                <wp:extent cx="5689600" cy="100330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0" cy="1003300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C12BC8" w14:textId="47A6C028" w:rsidR="00AA7F80" w:rsidRPr="00AA7F80" w:rsidRDefault="006E6361" w:rsidP="00AA7F80">
                            <w:pPr>
                              <w:spacing w:before="120"/>
                              <w:ind w:left="105" w:right="97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PREPORUKA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</w:t>
                            </w:r>
                          </w:p>
                          <w:p w14:paraId="55CBBB8B" w14:textId="38FBC570" w:rsidR="00843802" w:rsidRPr="008E5988" w:rsidRDefault="006E6361" w:rsidP="00AA7F80">
                            <w:pPr>
                              <w:spacing w:before="120"/>
                              <w:ind w:left="105" w:right="97"/>
                              <w:jc w:val="both"/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Zbog</w:t>
                            </w:r>
                            <w:r w:rsidR="009C62B4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toga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se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preporučuje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da</w:t>
                            </w:r>
                            <w:r w:rsidR="009C62B4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RIK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ili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drugo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nezavisno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telo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kome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je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poverena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odgovornost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za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vršenje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revizije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bave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že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da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angažuje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kombinaciju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stručnjaka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neophodnih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za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efikasno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sprovođenje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periodičnih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revizija</w:t>
                            </w:r>
                            <w:r w:rsidR="00CE581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A372A" id="Textbox 57" o:spid="_x0000_s1032" type="#_x0000_t202" style="position:absolute;margin-left:90.6pt;margin-top:12.2pt;width:448pt;height:79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" fillcolor="#ebf3fd" strokecolor="#005595" strokeweight=".08431mm">
                <v:path arrowok="t"/>
                <v:textbox inset="0,0,0,0">
                  <w:txbxContent>
                    <w:p w14:paraId="1EC12BC8" w14:textId="47A6C028" w:rsidR="00AA7F80" w:rsidRPr="00AA7F80" w:rsidRDefault="006E6361" w:rsidP="00AA7F80">
                      <w:pPr>
                        <w:spacing w:before="120"/>
                        <w:ind w:left="105" w:right="97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PREPORUKA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F</w:t>
                      </w:r>
                    </w:p>
                    <w:p w14:paraId="55CBBB8B" w14:textId="38FBC570" w:rsidR="00843802" w:rsidRPr="008E5988" w:rsidRDefault="006E6361" w:rsidP="00AA7F80">
                      <w:pPr>
                        <w:spacing w:before="120"/>
                        <w:ind w:left="105" w:right="97"/>
                        <w:jc w:val="both"/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Zbog</w:t>
                      </w:r>
                      <w:r w:rsidR="009C62B4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toga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se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preporučuje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da</w:t>
                      </w:r>
                      <w:r w:rsidR="009C62B4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RIK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ili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drugo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nezavisno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telo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kome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je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poverena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odgovornost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za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vršenje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revizije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o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bave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že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da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angažuje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kombinaciju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stručnjaka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neophodnih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za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efikasno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sprovođenje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(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periodičnih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)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revizija</w:t>
                      </w:r>
                      <w:r w:rsidR="00CE581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5B4A09" w14:textId="77777777" w:rsidR="00843802" w:rsidRPr="00A54F50" w:rsidRDefault="00843802">
      <w:pPr>
        <w:pStyle w:val="BodyText"/>
        <w:spacing w:before="1"/>
        <w:ind w:left="0"/>
        <w:rPr>
          <w:lang w:val="sr-Cyrl-RS"/>
        </w:rPr>
      </w:pPr>
    </w:p>
    <w:p w14:paraId="530E1302" w14:textId="03EA94F0" w:rsidR="00AA7F80" w:rsidRPr="008E5988" w:rsidRDefault="00AA7F80" w:rsidP="008E5988">
      <w:pPr>
        <w:pStyle w:val="ListParagraph"/>
        <w:numPr>
          <w:ilvl w:val="0"/>
          <w:numId w:val="12"/>
        </w:numPr>
        <w:tabs>
          <w:tab w:val="left" w:pos="1427"/>
        </w:tabs>
        <w:spacing w:before="120"/>
        <w:ind w:right="707"/>
        <w:rPr>
          <w:b/>
          <w:bCs/>
          <w:sz w:val="24"/>
          <w:lang w:val="sr-Cyrl-RS"/>
        </w:rPr>
      </w:pP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Mišljenju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iz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marta</w:t>
      </w:r>
      <w:r w:rsidRPr="00A54F50">
        <w:rPr>
          <w:sz w:val="24"/>
          <w:lang w:val="sr-Cyrl-RS"/>
        </w:rPr>
        <w:t xml:space="preserve"> 2025. </w:t>
      </w:r>
      <w:r w:rsidR="006E6361">
        <w:rPr>
          <w:sz w:val="24"/>
          <w:lang w:val="sr-Cyrl-RS"/>
        </w:rPr>
        <w:t>godine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data</w:t>
      </w:r>
      <w:r w:rsidR="00C15B4D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</w:t>
      </w:r>
      <w:r w:rsidR="00C15B4D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preporuka</w:t>
      </w:r>
      <w:r w:rsidR="00C15B4D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</w:t>
      </w:r>
      <w:r w:rsidRPr="00A54F50">
        <w:rPr>
          <w:sz w:val="24"/>
          <w:lang w:val="sr-Cyrl-RS"/>
        </w:rPr>
        <w:t xml:space="preserve"> „</w:t>
      </w:r>
      <w:r w:rsidR="006E6361">
        <w:rPr>
          <w:i/>
          <w:iCs/>
          <w:sz w:val="24"/>
          <w:lang w:val="sr-Cyrl-RS"/>
        </w:rPr>
        <w:t>važno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jasno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predvideti</w:t>
      </w:r>
      <w:r w:rsidR="00C15B4D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mehanizam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finansiranja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i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obezbediti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da</w:t>
      </w:r>
      <w:r w:rsidR="00C15B4D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dovoljno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sredstava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bude</w:t>
      </w:r>
      <w:r w:rsidR="00C15B4D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dostupno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na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vreme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kako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bi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Komisija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za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reviziju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završila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svoj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rad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u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skladu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zakonom</w:t>
      </w:r>
      <w:r w:rsidRPr="00A54F50">
        <w:rPr>
          <w:sz w:val="24"/>
          <w:lang w:val="sr-Cyrl-RS"/>
        </w:rPr>
        <w:t xml:space="preserve">“. </w:t>
      </w:r>
      <w:r w:rsidR="006E6361">
        <w:rPr>
          <w:sz w:val="24"/>
          <w:lang w:val="sr-Cyrl-RS"/>
        </w:rPr>
        <w:t>Ova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preporuka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odnosi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član</w:t>
      </w:r>
      <w:r w:rsidRPr="00A54F50">
        <w:rPr>
          <w:sz w:val="24"/>
          <w:lang w:val="sr-Cyrl-RS"/>
        </w:rPr>
        <w:t xml:space="preserve"> 24. </w:t>
      </w:r>
      <w:r w:rsidR="006E6361">
        <w:rPr>
          <w:sz w:val="24"/>
          <w:lang w:val="sr-Cyrl-RS"/>
        </w:rPr>
        <w:t>prethodne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verzije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Nacrta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zakona</w:t>
      </w:r>
      <w:r w:rsidRPr="00A54F50">
        <w:rPr>
          <w:sz w:val="24"/>
          <w:lang w:val="sr-Cyrl-RS"/>
        </w:rPr>
        <w:t xml:space="preserve"> (</w:t>
      </w:r>
      <w:r w:rsidR="006E6361">
        <w:rPr>
          <w:sz w:val="24"/>
          <w:lang w:val="sr-Cyrl-RS"/>
        </w:rPr>
        <w:t>sada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član</w:t>
      </w:r>
      <w:r w:rsidRPr="00A54F50">
        <w:rPr>
          <w:sz w:val="24"/>
          <w:lang w:val="sr-Cyrl-RS"/>
        </w:rPr>
        <w:t xml:space="preserve"> 25. </w:t>
      </w:r>
      <w:r w:rsidR="006E6361">
        <w:rPr>
          <w:sz w:val="24"/>
          <w:lang w:val="sr-Cyrl-RS"/>
        </w:rPr>
        <w:t>ažuriranog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Nacrta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zakona</w:t>
      </w:r>
      <w:r w:rsidRPr="00A54F50">
        <w:rPr>
          <w:sz w:val="24"/>
          <w:lang w:val="sr-Cyrl-RS"/>
        </w:rPr>
        <w:t xml:space="preserve">), </w:t>
      </w:r>
      <w:r w:rsidR="006E6361">
        <w:rPr>
          <w:sz w:val="24"/>
          <w:lang w:val="sr-Cyrl-RS"/>
        </w:rPr>
        <w:t>kojim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generalno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predviđeno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rad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Komisije</w:t>
      </w:r>
      <w:r w:rsidR="00C15B4D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</w:t>
      </w:r>
      <w:r w:rsidR="00C15B4D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finansira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iz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republičkog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budžeta</w:t>
      </w:r>
      <w:r w:rsidRPr="00A54F50">
        <w:rPr>
          <w:sz w:val="24"/>
          <w:lang w:val="sr-Cyrl-RS"/>
        </w:rPr>
        <w:t xml:space="preserve">. </w:t>
      </w:r>
      <w:r w:rsidR="006E6361">
        <w:rPr>
          <w:sz w:val="24"/>
          <w:lang w:val="sr-Cyrl-RS"/>
        </w:rPr>
        <w:t>S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tim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vezi</w:t>
      </w:r>
      <w:r w:rsidRPr="00A54F50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ažurirani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Nacrt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zakona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takođe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predviđa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jasno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mehanizam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finansiranja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kako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bi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obezbedilo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vreme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bude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na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raspolaganju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dovoljna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sredstva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da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Komisija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reviziju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završi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lastRenderedPageBreak/>
        <w:t>svoj</w:t>
      </w:r>
      <w:r w:rsidRPr="00A54F50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rad</w:t>
      </w:r>
      <w:r w:rsidRPr="00A54F50">
        <w:rPr>
          <w:sz w:val="24"/>
          <w:lang w:val="sr-Cyrl-RS"/>
        </w:rPr>
        <w:t xml:space="preserve">. </w:t>
      </w:r>
      <w:r w:rsidR="006E6361">
        <w:rPr>
          <w:b/>
          <w:bCs/>
          <w:sz w:val="24"/>
          <w:lang w:val="sr-Cyrl-RS"/>
        </w:rPr>
        <w:t>Shodno</w:t>
      </w:r>
      <w:r w:rsidR="00C15B4D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tome</w:t>
      </w:r>
      <w:r w:rsidRPr="008E5988">
        <w:rPr>
          <w:b/>
          <w:bCs/>
          <w:sz w:val="24"/>
          <w:lang w:val="sr-Cyrl-RS"/>
        </w:rPr>
        <w:t xml:space="preserve">, </w:t>
      </w:r>
      <w:r w:rsidR="006E6361">
        <w:rPr>
          <w:b/>
          <w:bCs/>
          <w:sz w:val="24"/>
          <w:lang w:val="sr-Cyrl-RS"/>
        </w:rPr>
        <w:t>napred</w:t>
      </w:r>
      <w:r w:rsidR="00C15B4D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navedena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preporuka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je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ostala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nerešena</w:t>
      </w:r>
      <w:r w:rsidRPr="008E5988">
        <w:rPr>
          <w:b/>
          <w:bCs/>
          <w:sz w:val="24"/>
          <w:lang w:val="sr-Cyrl-RS"/>
        </w:rPr>
        <w:t xml:space="preserve">. </w:t>
      </w:r>
      <w:r w:rsidR="006E6361">
        <w:rPr>
          <w:b/>
          <w:bCs/>
          <w:sz w:val="24"/>
          <w:lang w:val="sr-Cyrl-RS"/>
        </w:rPr>
        <w:t>Osim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toga</w:t>
      </w:r>
      <w:r w:rsidRPr="008E5988">
        <w:rPr>
          <w:b/>
          <w:bCs/>
          <w:sz w:val="24"/>
          <w:lang w:val="sr-Cyrl-RS"/>
        </w:rPr>
        <w:t xml:space="preserve">, </w:t>
      </w:r>
      <w:r w:rsidR="006E6361">
        <w:rPr>
          <w:b/>
          <w:bCs/>
          <w:sz w:val="24"/>
          <w:lang w:val="sr-Cyrl-RS"/>
        </w:rPr>
        <w:t>treba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istaći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da</w:t>
      </w:r>
      <w:r w:rsidRPr="008E5988">
        <w:rPr>
          <w:b/>
          <w:bCs/>
          <w:sz w:val="24"/>
          <w:lang w:val="sr-Cyrl-RS"/>
        </w:rPr>
        <w:t xml:space="preserve">, </w:t>
      </w:r>
      <w:r w:rsidR="006E6361">
        <w:rPr>
          <w:b/>
          <w:bCs/>
          <w:sz w:val="24"/>
          <w:lang w:val="sr-Cyrl-RS"/>
        </w:rPr>
        <w:t>pošto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ažurirani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Nacrt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zakona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uvodi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novu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meru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za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dugoročnu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reviziju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biračkog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spiska</w:t>
      </w:r>
      <w:r w:rsidRPr="008E5988">
        <w:rPr>
          <w:b/>
          <w:bCs/>
          <w:sz w:val="24"/>
          <w:lang w:val="sr-Cyrl-RS"/>
        </w:rPr>
        <w:t xml:space="preserve">, </w:t>
      </w:r>
      <w:r w:rsidR="006E6361">
        <w:rPr>
          <w:b/>
          <w:bCs/>
          <w:sz w:val="24"/>
          <w:lang w:val="sr-Cyrl-RS"/>
        </w:rPr>
        <w:t>treba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garantovati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blagovremeno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i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dovoljno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finansiranje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za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ovaj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proces</w:t>
      </w:r>
      <w:r w:rsidR="00C15B4D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periodične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revizije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za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relevantno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telo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kako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bi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se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obezbedilo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efikasno</w:t>
      </w:r>
      <w:r w:rsidR="00C15B4D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sprovođenje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revizije</w:t>
      </w:r>
      <w:r w:rsidRPr="008E5988">
        <w:rPr>
          <w:b/>
          <w:bCs/>
          <w:sz w:val="24"/>
          <w:lang w:val="sr-Cyrl-RS"/>
        </w:rPr>
        <w:t>.</w:t>
      </w:r>
    </w:p>
    <w:p w14:paraId="5DFC197A" w14:textId="7D9A4073" w:rsidR="00AA7F80" w:rsidRPr="00A54F50" w:rsidRDefault="006E6361" w:rsidP="008E5988">
      <w:pPr>
        <w:pStyle w:val="ListParagraph"/>
        <w:numPr>
          <w:ilvl w:val="0"/>
          <w:numId w:val="12"/>
        </w:numPr>
        <w:tabs>
          <w:tab w:val="left" w:pos="1427"/>
        </w:tabs>
        <w:spacing w:before="120"/>
        <w:ind w:right="707"/>
        <w:rPr>
          <w:sz w:val="24"/>
          <w:lang w:val="sr-Cyrl-RS"/>
        </w:rPr>
      </w:pPr>
      <w:r>
        <w:rPr>
          <w:sz w:val="24"/>
          <w:lang w:val="sr-Cyrl-RS"/>
        </w:rPr>
        <w:t>U</w:t>
      </w:r>
      <w:r w:rsidR="00C15B4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Mišljenju</w:t>
      </w:r>
      <w:r w:rsidR="00C15B4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C15B4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marta</w:t>
      </w:r>
      <w:r w:rsidR="00C15B4D" w:rsidRPr="00A54F50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godine</w:t>
      </w:r>
      <w:r w:rsidR="00C15B4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data</w:t>
      </w:r>
      <w:r w:rsidR="00C15B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C15B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C15B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C15B4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C15B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 w:rsidR="00AA7F80" w:rsidRPr="008E5988">
        <w:rPr>
          <w:i/>
          <w:iCs/>
          <w:sz w:val="24"/>
          <w:lang w:val="sr-Cyrl-RS"/>
        </w:rPr>
        <w:t>„</w:t>
      </w:r>
      <w:r>
        <w:rPr>
          <w:i/>
          <w:iCs/>
          <w:sz w:val="24"/>
          <w:lang w:val="sr-Cyrl-RS"/>
        </w:rPr>
        <w:t>moglo</w:t>
      </w:r>
      <w:r w:rsidR="00AA7F80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razmotriti</w:t>
      </w:r>
      <w:r w:rsidR="00AA7F80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povećanje</w:t>
      </w:r>
      <w:r w:rsidR="00AA7F80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naknade</w:t>
      </w:r>
      <w:r w:rsidR="00AA7F80" w:rsidRPr="008E5988">
        <w:rPr>
          <w:i/>
          <w:iCs/>
          <w:sz w:val="24"/>
          <w:lang w:val="sr-Cyrl-RS"/>
        </w:rPr>
        <w:t xml:space="preserve"> [</w:t>
      </w:r>
      <w:r>
        <w:rPr>
          <w:i/>
          <w:iCs/>
          <w:sz w:val="24"/>
          <w:lang w:val="sr-Cyrl-RS"/>
        </w:rPr>
        <w:t>članovima</w:t>
      </w:r>
      <w:r w:rsidR="00AA7F80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Komisije</w:t>
      </w:r>
      <w:r w:rsidR="00AA7F80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za</w:t>
      </w:r>
      <w:r w:rsidR="00AA7F80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reviziju</w:t>
      </w:r>
      <w:r w:rsidR="00AA7F80" w:rsidRPr="008E5988">
        <w:rPr>
          <w:i/>
          <w:iCs/>
          <w:sz w:val="24"/>
          <w:lang w:val="sr-Cyrl-RS"/>
        </w:rPr>
        <w:t xml:space="preserve">] </w:t>
      </w:r>
      <w:r>
        <w:rPr>
          <w:i/>
          <w:iCs/>
          <w:sz w:val="24"/>
          <w:lang w:val="sr-Cyrl-RS"/>
        </w:rPr>
        <w:t>kako</w:t>
      </w:r>
      <w:r w:rsidR="00AA7F80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bi</w:t>
      </w:r>
      <w:r w:rsidR="00AA7F80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se</w:t>
      </w:r>
      <w:r w:rsidR="00AA7F80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ona</w:t>
      </w:r>
      <w:r w:rsidR="00AA7F80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uskladila</w:t>
      </w:r>
      <w:r w:rsidR="00AA7F80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sa</w:t>
      </w:r>
      <w:r w:rsidR="00AA7F80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specijalizovanom</w:t>
      </w:r>
      <w:r w:rsidR="00AA7F80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</w:t>
      </w:r>
      <w:r w:rsidR="00AA7F80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osetljivom</w:t>
      </w:r>
      <w:r w:rsidR="00AA7F80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prirodom</w:t>
      </w:r>
      <w:r w:rsidR="00AA7F80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posla</w:t>
      </w:r>
      <w:r w:rsidR="00AA7F80" w:rsidRPr="008E5988">
        <w:rPr>
          <w:i/>
          <w:iCs/>
          <w:sz w:val="24"/>
          <w:lang w:val="sr-Cyrl-RS"/>
        </w:rPr>
        <w:t>”.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Konkretno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prethodna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AA7F80" w:rsidRPr="00A54F50">
        <w:rPr>
          <w:sz w:val="24"/>
          <w:lang w:val="sr-Cyrl-RS"/>
        </w:rPr>
        <w:t xml:space="preserve"> 24</w:t>
      </w:r>
      <w:r w:rsidR="00CA3C94">
        <w:rPr>
          <w:sz w:val="24"/>
          <w:lang w:val="sr-Cyrl-RS"/>
        </w:rPr>
        <w:t>.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predviđala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naknadu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visini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prosečne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zarade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Srbiji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primetio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može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bude</w:t>
      </w:r>
      <w:r w:rsid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prepreka</w:t>
      </w:r>
      <w:r w:rsid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pronalaženju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kvalifikovanih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dobro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obučenih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nezavisnih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stručnjaka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ispuniti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mandat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 xml:space="preserve">. </w:t>
      </w:r>
      <w:r>
        <w:rPr>
          <w:b/>
          <w:bCs/>
          <w:sz w:val="24"/>
          <w:lang w:val="sr-Cyrl-RS"/>
        </w:rPr>
        <w:t>Pozitivno</w:t>
      </w:r>
      <w:r w:rsid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je</w:t>
      </w:r>
      <w:r w:rsid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to</w:t>
      </w:r>
      <w:r w:rsid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što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ažurirani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Nacrt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zakona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adresira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ovu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preporuku</w:t>
      </w:r>
      <w:r w:rsidR="00AA7F80" w:rsidRPr="008E5988">
        <w:rPr>
          <w:b/>
          <w:bCs/>
          <w:sz w:val="24"/>
          <w:lang w:val="sr-Cyrl-RS"/>
        </w:rPr>
        <w:t xml:space="preserve">, </w:t>
      </w:r>
      <w:r>
        <w:rPr>
          <w:b/>
          <w:bCs/>
          <w:sz w:val="24"/>
          <w:lang w:val="sr-Cyrl-RS"/>
        </w:rPr>
        <w:t>povećanjem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plate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članovima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Komisije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reviziju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jednu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i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po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prosečnu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zaradu</w:t>
      </w:r>
      <w:r w:rsidR="00AA7F80" w:rsidRPr="008E5988">
        <w:rPr>
          <w:b/>
          <w:bCs/>
          <w:sz w:val="24"/>
          <w:lang w:val="sr-Cyrl-RS"/>
        </w:rPr>
        <w:t xml:space="preserve"> (</w:t>
      </w:r>
      <w:r>
        <w:rPr>
          <w:b/>
          <w:bCs/>
          <w:sz w:val="24"/>
          <w:lang w:val="sr-Cyrl-RS"/>
        </w:rPr>
        <w:t>sada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član</w:t>
      </w:r>
      <w:r w:rsidR="00AA7F80" w:rsidRPr="008E5988">
        <w:rPr>
          <w:b/>
          <w:bCs/>
          <w:sz w:val="24"/>
          <w:lang w:val="sr-Cyrl-RS"/>
        </w:rPr>
        <w:t xml:space="preserve"> 25</w:t>
      </w:r>
      <w:r w:rsidR="00CA3C94">
        <w:rPr>
          <w:b/>
          <w:bCs/>
          <w:sz w:val="24"/>
          <w:lang w:val="sr-Cyrl-RS"/>
        </w:rPr>
        <w:t>.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ažuriranom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Nacrtu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). </w:t>
      </w:r>
      <w:r>
        <w:rPr>
          <w:sz w:val="24"/>
          <w:lang w:val="sr-Cyrl-RS"/>
        </w:rPr>
        <w:t>Primećuje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međutim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slična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odredba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uključena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</w:t>
      </w:r>
      <w:r w:rsidR="00AA7F80" w:rsidRPr="00A54F50">
        <w:rPr>
          <w:sz w:val="24"/>
          <w:lang w:val="sr-Cyrl-RS"/>
        </w:rPr>
        <w:t xml:space="preserve"> 4</w:t>
      </w:r>
      <w:r w:rsidR="00CA3C94">
        <w:rPr>
          <w:sz w:val="24"/>
          <w:lang w:val="sr-Cyrl-RS"/>
        </w:rPr>
        <w:t>.</w:t>
      </w:r>
      <w:r w:rsidR="00AA7F80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novi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</w:t>
      </w:r>
      <w:r w:rsidR="00AA7F80" w:rsidRPr="00A54F50">
        <w:rPr>
          <w:sz w:val="24"/>
          <w:lang w:val="sr-Cyrl-RS"/>
        </w:rPr>
        <w:t xml:space="preserve"> 22</w:t>
      </w:r>
      <w:r>
        <w:rPr>
          <w:sz w:val="24"/>
          <w:lang w:val="sr-Cyrl-RS"/>
        </w:rPr>
        <w:t>b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ZJBS</w:t>
      </w:r>
      <w:r w:rsidR="00AA7F80" w:rsidRPr="00A54F50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pogledu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angažuje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visokoobrazovane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stručnjake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vršenje</w:t>
      </w:r>
      <w:r w:rsidR="00AA7F80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periodične</w:t>
      </w:r>
      <w:r w:rsidR="00AA7F80" w:rsidRPr="00A54F50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revizije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AA7F80" w:rsidRPr="00A54F50">
        <w:rPr>
          <w:sz w:val="24"/>
          <w:lang w:val="sr-Cyrl-RS"/>
        </w:rPr>
        <w:t>.</w:t>
      </w:r>
    </w:p>
    <w:p w14:paraId="6F8C10C6" w14:textId="6393C047" w:rsidR="00843802" w:rsidRPr="00CA3C94" w:rsidRDefault="006E6361" w:rsidP="005C404B">
      <w:pPr>
        <w:pStyle w:val="ListParagraph"/>
        <w:numPr>
          <w:ilvl w:val="0"/>
          <w:numId w:val="12"/>
        </w:numPr>
        <w:tabs>
          <w:tab w:val="left" w:pos="1427"/>
        </w:tabs>
        <w:spacing w:before="268"/>
        <w:ind w:left="1427" w:right="704"/>
        <w:rPr>
          <w:sz w:val="24"/>
          <w:lang w:val="sr-Cyrl-RS"/>
        </w:rPr>
      </w:pPr>
      <w:r>
        <w:rPr>
          <w:sz w:val="24"/>
          <w:lang w:val="sr-Cyrl-RS"/>
        </w:rPr>
        <w:t>Jedna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ključnih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AA7F80" w:rsidRPr="00CA3C94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nakon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razmatranja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prethodne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odnosila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donošenja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CA3C94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Data</w:t>
      </w:r>
      <w:r w:rsidR="00CA3C94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CA3C94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sledeća</w:t>
      </w:r>
      <w:r w:rsidR="00CA3C94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AA7F80" w:rsidRPr="00CA3C94">
        <w:rPr>
          <w:sz w:val="24"/>
          <w:lang w:val="sr-Cyrl-RS"/>
        </w:rPr>
        <w:t>: „</w:t>
      </w:r>
      <w:r>
        <w:rPr>
          <w:i/>
          <w:iCs/>
          <w:sz w:val="24"/>
          <w:lang w:val="sr-Cyrl-RS"/>
        </w:rPr>
        <w:t>Da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bi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se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sprečila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blokada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u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procesu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donošenja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odluka</w:t>
      </w:r>
      <w:r w:rsidR="00AA7F80" w:rsidRPr="00CA3C94">
        <w:rPr>
          <w:i/>
          <w:iCs/>
          <w:sz w:val="24"/>
          <w:lang w:val="sr-Cyrl-RS"/>
        </w:rPr>
        <w:t xml:space="preserve">, </w:t>
      </w:r>
      <w:r>
        <w:rPr>
          <w:i/>
          <w:iCs/>
          <w:sz w:val="24"/>
          <w:lang w:val="sr-Cyrl-RS"/>
        </w:rPr>
        <w:t>trebalo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bi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razmotriti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ponovno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uvođenje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mehanizma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odlučivanja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koji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bi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propisivao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najmanje</w:t>
      </w:r>
      <w:r w:rsid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jedan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glas</w:t>
      </w:r>
      <w:r w:rsidR="00AA7F80" w:rsidRPr="00CA3C94">
        <w:rPr>
          <w:i/>
          <w:iCs/>
          <w:sz w:val="24"/>
          <w:lang w:val="sr-Cyrl-RS"/>
        </w:rPr>
        <w:t xml:space="preserve"> (</w:t>
      </w:r>
      <w:r>
        <w:rPr>
          <w:i/>
          <w:iCs/>
          <w:sz w:val="24"/>
          <w:lang w:val="sr-Cyrl-RS"/>
        </w:rPr>
        <w:t>a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ne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najmanje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</w:t>
      </w:r>
      <w:r w:rsid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dva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glasa</w:t>
      </w:r>
      <w:r w:rsidR="00AA7F80" w:rsidRPr="00CA3C94">
        <w:rPr>
          <w:i/>
          <w:iCs/>
          <w:sz w:val="24"/>
          <w:lang w:val="sr-Cyrl-RS"/>
        </w:rPr>
        <w:t xml:space="preserve">) </w:t>
      </w:r>
      <w:r>
        <w:rPr>
          <w:i/>
          <w:iCs/>
          <w:sz w:val="24"/>
          <w:lang w:val="sr-Cyrl-RS"/>
        </w:rPr>
        <w:t>iz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svake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grupe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članova</w:t>
      </w:r>
      <w:r w:rsidR="00AA7F80" w:rsidRPr="00CA3C94">
        <w:rPr>
          <w:i/>
          <w:iCs/>
          <w:sz w:val="24"/>
          <w:lang w:val="sr-Cyrl-RS"/>
        </w:rPr>
        <w:t xml:space="preserve"> (</w:t>
      </w:r>
      <w:r>
        <w:rPr>
          <w:i/>
          <w:iCs/>
          <w:sz w:val="24"/>
          <w:lang w:val="sr-Cyrl-RS"/>
        </w:rPr>
        <w:t>vladajuće</w:t>
      </w:r>
      <w:r w:rsidR="00AA7F80" w:rsidRPr="00CA3C94">
        <w:rPr>
          <w:i/>
          <w:iCs/>
          <w:sz w:val="24"/>
          <w:lang w:val="sr-Cyrl-RS"/>
        </w:rPr>
        <w:t xml:space="preserve">, </w:t>
      </w:r>
      <w:r>
        <w:rPr>
          <w:i/>
          <w:iCs/>
          <w:sz w:val="24"/>
          <w:lang w:val="sr-Cyrl-RS"/>
        </w:rPr>
        <w:t>opozicije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civilnog</w:t>
      </w:r>
      <w:r w:rsidR="00AA7F80" w:rsidRPr="00CA3C94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društva</w:t>
      </w:r>
      <w:r w:rsidR="00AA7F80" w:rsidRPr="00CA3C94">
        <w:rPr>
          <w:i/>
          <w:iCs/>
          <w:sz w:val="24"/>
          <w:lang w:val="sr-Cyrl-RS"/>
        </w:rPr>
        <w:t>.)“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proistekla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AA7F80" w:rsidRPr="00CA3C94">
        <w:rPr>
          <w:sz w:val="24"/>
          <w:lang w:val="sr-Cyrl-RS"/>
        </w:rPr>
        <w:t xml:space="preserve"> 19. </w:t>
      </w:r>
      <w:r>
        <w:rPr>
          <w:sz w:val="24"/>
          <w:lang w:val="sr-Cyrl-RS"/>
        </w:rPr>
        <w:t>prethodne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predviđao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6656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odluke</w:t>
      </w:r>
      <w:r w:rsidR="006656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donose</w:t>
      </w:r>
      <w:r w:rsidR="006656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dvotrećinskom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većinom</w:t>
      </w:r>
      <w:r w:rsidR="006656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glasova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svih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njenih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članova</w:t>
      </w:r>
      <w:r w:rsidR="00AA7F80" w:rsidRPr="00CA3C9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pod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uslovom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njih</w:t>
      </w:r>
      <w:r w:rsidR="006656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glasa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najmanje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dva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pet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predložila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skupštinska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većina</w:t>
      </w:r>
      <w:r w:rsidR="00AA7F80" w:rsidRPr="00CA3C9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najmanje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dva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tri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predložila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opozicija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najmanje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jedan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dva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predložila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udruženja</w:t>
      </w:r>
      <w:r w:rsidR="00AA7F80" w:rsidRPr="00CA3C94">
        <w:rPr>
          <w:sz w:val="24"/>
          <w:lang w:val="sr-Cyrl-RS"/>
        </w:rPr>
        <w:t xml:space="preserve">. </w:t>
      </w:r>
      <w:r>
        <w:rPr>
          <w:b/>
          <w:bCs/>
          <w:sz w:val="24"/>
          <w:lang w:val="sr-Cyrl-RS"/>
        </w:rPr>
        <w:t>Pozitivno</w:t>
      </w:r>
      <w:r w:rsidR="00665689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je</w:t>
      </w:r>
      <w:r w:rsidR="00665689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to</w:t>
      </w:r>
      <w:r w:rsidR="00665689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što</w:t>
      </w:r>
      <w:r w:rsidR="00665689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je</w:t>
      </w:r>
      <w:r w:rsidR="00665689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napred</w:t>
      </w:r>
      <w:r w:rsidR="00665689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navedena</w:t>
      </w:r>
      <w:r w:rsidR="00665689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preporuka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adresirana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jer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je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ažuriranim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Nacrtom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zakona</w:t>
      </w:r>
      <w:r w:rsidR="00AA7F80" w:rsidRPr="00CA3C94">
        <w:rPr>
          <w:b/>
          <w:bCs/>
          <w:sz w:val="24"/>
          <w:lang w:val="sr-Cyrl-RS"/>
        </w:rPr>
        <w:t xml:space="preserve"> (</w:t>
      </w:r>
      <w:r>
        <w:rPr>
          <w:b/>
          <w:bCs/>
          <w:sz w:val="24"/>
          <w:lang w:val="sr-Cyrl-RS"/>
        </w:rPr>
        <w:t>član</w:t>
      </w:r>
      <w:r w:rsidR="00AA7F80" w:rsidRPr="00CA3C94">
        <w:rPr>
          <w:b/>
          <w:bCs/>
          <w:sz w:val="24"/>
          <w:lang w:val="sr-Cyrl-RS"/>
        </w:rPr>
        <w:t xml:space="preserve"> 20) </w:t>
      </w:r>
      <w:r>
        <w:rPr>
          <w:b/>
          <w:bCs/>
          <w:sz w:val="24"/>
          <w:lang w:val="sr-Cyrl-RS"/>
        </w:rPr>
        <w:t>ponovo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uvedeno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da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najmanje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po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jedan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član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iz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svake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od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tri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grupe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mora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glasati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usvajanje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odluke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Komisije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</w:t>
      </w:r>
      <w:r w:rsidR="00AA7F80" w:rsidRPr="00CA3C94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reviziju</w:t>
      </w:r>
      <w:r w:rsidR="00AA7F80" w:rsidRPr="00CA3C94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Međutim</w:t>
      </w:r>
      <w:r w:rsidR="00AA7F80" w:rsidRPr="00CA3C9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slučaju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ostane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imenovano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telo</w:t>
      </w:r>
      <w:r w:rsidR="00AA7F80" w:rsidRPr="00CA3C9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redovni</w:t>
      </w:r>
      <w:r w:rsidR="006656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postupak</w:t>
      </w:r>
      <w:r w:rsidR="006656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odlučivanja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CA3C94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prilagođen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pogledu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vršenja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dugoročne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kako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uskladio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postupkom</w:t>
      </w:r>
      <w:r w:rsidR="006656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odlučivanja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CA3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CA3C94">
        <w:rPr>
          <w:sz w:val="24"/>
          <w:lang w:val="sr-Cyrl-RS"/>
        </w:rPr>
        <w:t>.</w:t>
      </w:r>
    </w:p>
    <w:p w14:paraId="6B6C7D07" w14:textId="77777777" w:rsidR="00843802" w:rsidRPr="00A54F50" w:rsidRDefault="00CE5810">
      <w:pPr>
        <w:pStyle w:val="BodyText"/>
        <w:spacing w:before="9"/>
        <w:ind w:left="0"/>
        <w:rPr>
          <w:sz w:val="18"/>
          <w:lang w:val="sr-Cyrl-RS"/>
        </w:rPr>
      </w:pPr>
      <w:r w:rsidRPr="00A54F50">
        <w:rPr>
          <w:noProof/>
          <w:sz w:val="18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B154986" wp14:editId="7AB29F80">
                <wp:simplePos x="0" y="0"/>
                <wp:positionH relativeFrom="page">
                  <wp:posOffset>1150619</wp:posOffset>
                </wp:positionH>
                <wp:positionV relativeFrom="paragraph">
                  <wp:posOffset>154802</wp:posOffset>
                </wp:positionV>
                <wp:extent cx="5689600" cy="1108075"/>
                <wp:effectExtent l="0" t="0" r="0" b="0"/>
                <wp:wrapTopAndBottom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0" cy="1108075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92A810" w14:textId="7B9EFA94" w:rsidR="00AA7F80" w:rsidRPr="00AA7F80" w:rsidRDefault="006E6361" w:rsidP="00AA7F80">
                            <w:pPr>
                              <w:spacing w:before="120"/>
                              <w:ind w:left="175" w:right="99" w:hanging="10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PREPORUKA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</w:t>
                            </w:r>
                          </w:p>
                          <w:p w14:paraId="4482CEAC" w14:textId="09F71131" w:rsidR="00843802" w:rsidRPr="00665689" w:rsidRDefault="006E6361" w:rsidP="00AA7F80">
                            <w:pPr>
                              <w:spacing w:before="120"/>
                              <w:ind w:left="175" w:right="99" w:hanging="10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Preporučuje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razradi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postupak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odlučivanja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RIK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a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ili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drugog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nezavisnog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tela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kome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je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poverena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odgovornost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za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vršenje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revizije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kako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bi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obezbedio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doprinos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kako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vladajuće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većine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opozicije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tako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civilnog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društva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odlukama</w:t>
                            </w:r>
                            <w:r w:rsidR="00665689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koje</w:t>
                            </w:r>
                            <w:r w:rsidR="00665689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="00665689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odnose</w:t>
                            </w:r>
                            <w:r w:rsidR="00665689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na</w:t>
                            </w:r>
                            <w:r w:rsidR="00665689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postupak</w:t>
                            </w:r>
                            <w:r w:rsidR="00AA7F80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revizije</w:t>
                            </w:r>
                            <w:r w:rsidR="00AA7F80" w:rsidRPr="00665689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54986" id="Textbox 58" o:spid="_x0000_s1033" type="#_x0000_t202" style="position:absolute;margin-left:90.6pt;margin-top:12.2pt;width:448pt;height:87.2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" fillcolor="#ebf3fd" strokecolor="#005595" strokeweight=".08431mm">
                <v:path arrowok="t"/>
                <v:textbox inset="0,0,0,0">
                  <w:txbxContent>
                    <w:p w14:paraId="4C92A810" w14:textId="7B9EFA94" w:rsidR="00AA7F80" w:rsidRPr="00AA7F80" w:rsidRDefault="006E6361" w:rsidP="00AA7F80">
                      <w:pPr>
                        <w:spacing w:before="120"/>
                        <w:ind w:left="175" w:right="99" w:hanging="10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PREPORUKA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</w:t>
                      </w:r>
                    </w:p>
                    <w:p w14:paraId="4482CEAC" w14:textId="09F71131" w:rsidR="00843802" w:rsidRPr="00665689" w:rsidRDefault="006E6361" w:rsidP="00AA7F80">
                      <w:pPr>
                        <w:spacing w:before="120"/>
                        <w:ind w:left="175" w:right="99" w:hanging="10"/>
                        <w:jc w:val="both"/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</w:pP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Preporučuje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razradi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postupak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odlučivanja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RIK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-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a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ili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drugog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nezavisnog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tela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kome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je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poverena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odgovornost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za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vršenje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revizije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kako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bi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obezbedio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doprinos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kako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vladajuće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većine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opozicije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tako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civilnog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društva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odlukama</w:t>
                      </w:r>
                      <w:r w:rsidR="00665689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koje</w:t>
                      </w:r>
                      <w:r w:rsidR="00665689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="00665689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odnose</w:t>
                      </w:r>
                      <w:r w:rsidR="00665689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na</w:t>
                      </w:r>
                      <w:r w:rsidR="00665689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postupak</w:t>
                      </w:r>
                      <w:r w:rsidR="00AA7F80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revizije</w:t>
                      </w:r>
                      <w:r w:rsidR="00AA7F80" w:rsidRPr="00665689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05748C" w14:textId="77777777" w:rsidR="00843802" w:rsidRPr="00A54F50" w:rsidRDefault="00843802">
      <w:pPr>
        <w:pStyle w:val="BodyText"/>
        <w:spacing w:before="1"/>
        <w:ind w:left="0"/>
        <w:rPr>
          <w:lang w:val="sr-Cyrl-RS"/>
        </w:rPr>
      </w:pPr>
    </w:p>
    <w:p w14:paraId="61296F43" w14:textId="1A4CDB67" w:rsidR="00AA7F80" w:rsidRPr="008E5988" w:rsidRDefault="006E6361" w:rsidP="008E5988">
      <w:pPr>
        <w:pStyle w:val="ListParagraph"/>
        <w:numPr>
          <w:ilvl w:val="0"/>
          <w:numId w:val="12"/>
        </w:numPr>
        <w:tabs>
          <w:tab w:val="left" w:pos="1427"/>
        </w:tabs>
        <w:spacing w:before="121"/>
        <w:ind w:right="704"/>
        <w:rPr>
          <w:b/>
          <w:bCs/>
          <w:i/>
          <w:iCs/>
          <w:sz w:val="24"/>
          <w:lang w:val="sr-Cyrl-RS"/>
        </w:rPr>
      </w:pP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postupak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rokovi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podnošenje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izveštaja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odgovarajućim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skupštinskim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odborima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koraci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obezbeđivanje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A52A2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A52A2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</w:t>
      </w:r>
      <w:r w:rsidR="00A52A2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odobrili</w:t>
      </w:r>
      <w:r w:rsidR="00A52A2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adresiraju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relevantnih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institucija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ostaju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prethodnoj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članovi</w:t>
      </w:r>
      <w:r w:rsidR="00AA7F80" w:rsidRPr="00A54F50">
        <w:rPr>
          <w:sz w:val="24"/>
          <w:lang w:val="sr-Cyrl-RS"/>
        </w:rPr>
        <w:t xml:space="preserve"> 9-10 </w:t>
      </w:r>
      <w:r>
        <w:rPr>
          <w:sz w:val="24"/>
          <w:lang w:val="sr-Cyrl-RS"/>
        </w:rPr>
        <w:t>ažuriranog</w:t>
      </w:r>
      <w:r w:rsidR="00A52A2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prethodno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</w:t>
      </w:r>
      <w:r w:rsidR="00AA7F80" w:rsidRPr="00A54F50">
        <w:rPr>
          <w:sz w:val="24"/>
          <w:lang w:val="sr-Cyrl-RS"/>
        </w:rPr>
        <w:t xml:space="preserve"> </w:t>
      </w:r>
      <w:r w:rsidR="00A52A27">
        <w:rPr>
          <w:sz w:val="24"/>
          <w:lang w:val="sr-Cyrl-RS"/>
        </w:rPr>
        <w:t>8-</w:t>
      </w:r>
      <w:r w:rsidR="00AA7F80" w:rsidRPr="00A54F50">
        <w:rPr>
          <w:sz w:val="24"/>
          <w:lang w:val="sr-Cyrl-RS"/>
        </w:rPr>
        <w:t xml:space="preserve">9). </w:t>
      </w:r>
      <w:r>
        <w:rPr>
          <w:sz w:val="24"/>
          <w:lang w:val="sr-Cyrl-RS"/>
        </w:rPr>
        <w:t>Osim</w:t>
      </w:r>
      <w:r w:rsidR="00A52A2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uglavnom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postupak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rokovi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dalji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koraci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sadržani</w:t>
      </w:r>
      <w:r w:rsidR="00A52A2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pogledu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novouvedenih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izveštaja</w:t>
      </w:r>
      <w:r w:rsidR="004F324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4F324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izvršenoj</w:t>
      </w:r>
      <w:r w:rsidR="004F324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reviziji</w:t>
      </w:r>
      <w:r w:rsidR="004F324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priprema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član</w:t>
      </w:r>
      <w:r w:rsidR="00AA7F80" w:rsidRPr="00A54F50">
        <w:rPr>
          <w:sz w:val="24"/>
          <w:lang w:val="sr-Cyrl-RS"/>
        </w:rPr>
        <w:t xml:space="preserve"> 4. </w:t>
      </w:r>
      <w:r>
        <w:rPr>
          <w:sz w:val="24"/>
          <w:lang w:val="sr-Cyrl-RS"/>
        </w:rPr>
        <w:t>ažuriranog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novi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</w:t>
      </w:r>
      <w:r w:rsidR="00AA7F80" w:rsidRPr="00A54F50">
        <w:rPr>
          <w:sz w:val="24"/>
          <w:lang w:val="sr-Cyrl-RS"/>
        </w:rPr>
        <w:t xml:space="preserve"> 22</w:t>
      </w:r>
      <w:r>
        <w:rPr>
          <w:sz w:val="24"/>
          <w:lang w:val="sr-Cyrl-RS"/>
        </w:rPr>
        <w:t>c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ZJBS</w:t>
      </w:r>
      <w:r w:rsidR="00AA7F80" w:rsidRPr="00A54F50">
        <w:rPr>
          <w:sz w:val="24"/>
          <w:lang w:val="sr-Cyrl-RS"/>
        </w:rPr>
        <w:t xml:space="preserve">), </w:t>
      </w:r>
      <w:r>
        <w:rPr>
          <w:sz w:val="24"/>
          <w:lang w:val="sr-Cyrl-RS"/>
        </w:rPr>
        <w:t>počevši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dostavljanja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Narodnoj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njenih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izveštaja</w:t>
      </w:r>
      <w:r w:rsidR="004F324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4F324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izvršenoj</w:t>
      </w:r>
      <w:r w:rsidR="004F324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reviziji</w:t>
      </w:r>
      <w:r w:rsidR="004F324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AA7F80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Međutim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razliku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RIK</w:t>
      </w:r>
      <w:r w:rsidR="00AA7F80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data</w:t>
      </w:r>
      <w:r w:rsidR="00AA7F80" w:rsidRPr="00A54F50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kontrola</w:t>
      </w:r>
      <w:r w:rsidR="00AA7F80" w:rsidRPr="00A54F50">
        <w:rPr>
          <w:sz w:val="24"/>
          <w:lang w:val="sr-Cyrl-RS"/>
        </w:rPr>
        <w:t xml:space="preserve">“ </w:t>
      </w:r>
      <w:r>
        <w:rPr>
          <w:sz w:val="24"/>
          <w:lang w:val="sr-Cyrl-RS"/>
        </w:rPr>
        <w:t>nad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sprovođenjem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odobrili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skupštinski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odbori</w:t>
      </w:r>
      <w:r w:rsidR="00AA7F80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član</w:t>
      </w:r>
      <w:r w:rsidR="00AA7F80" w:rsidRPr="00A54F50">
        <w:rPr>
          <w:sz w:val="24"/>
          <w:lang w:val="sr-Cyrl-RS"/>
        </w:rPr>
        <w:t xml:space="preserve"> 10, </w:t>
      </w:r>
      <w:r>
        <w:rPr>
          <w:sz w:val="24"/>
          <w:lang w:val="sr-Cyrl-RS"/>
        </w:rPr>
        <w:t>ranije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</w:t>
      </w:r>
      <w:r w:rsidR="00AA7F80" w:rsidRPr="00A54F50">
        <w:rPr>
          <w:sz w:val="24"/>
          <w:lang w:val="sr-Cyrl-RS"/>
        </w:rPr>
        <w:t xml:space="preserve"> 9 </w:t>
      </w:r>
      <w:r>
        <w:rPr>
          <w:sz w:val="24"/>
          <w:lang w:val="sr-Cyrl-RS"/>
        </w:rPr>
        <w:t>Nacrta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). </w:t>
      </w:r>
      <w:r>
        <w:rPr>
          <w:sz w:val="24"/>
          <w:lang w:val="sr-Cyrl-RS"/>
        </w:rPr>
        <w:t>Konkretno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Komisija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treba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podnosi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Narodnoj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periodične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izveštaje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ispunjenju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4673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4673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odgovarajući</w:t>
      </w:r>
      <w:r w:rsidR="004673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odbori</w:t>
      </w:r>
      <w:r w:rsidR="004673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odobrili</w:t>
      </w:r>
      <w:r w:rsidR="004673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4673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4673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institucija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sve</w:t>
      </w:r>
      <w:r w:rsidR="004673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dok</w:t>
      </w:r>
      <w:r w:rsidR="004673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</w:t>
      </w:r>
      <w:r w:rsidR="004673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konstatuju</w:t>
      </w:r>
      <w:r w:rsidR="004F324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lastRenderedPageBreak/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ispunjene</w:t>
      </w:r>
      <w:r w:rsidR="004F324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preporuke</w:t>
      </w:r>
      <w:r w:rsidR="00AA7F80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Nasuprot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tome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vrši</w:t>
      </w:r>
      <w:r w:rsidR="004673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revizije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nadležni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skupštinski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podnose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Narodnoj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izveštaj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ispunjenju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odobrenih</w:t>
      </w:r>
      <w:r w:rsidR="005B05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5B05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4673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institucija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odgovoran</w:t>
      </w:r>
      <w:r w:rsidR="004673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podnošenje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periodičnih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izveštaja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Narodnoj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sprovođenju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4673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institucija</w:t>
      </w:r>
      <w:r w:rsidR="00AA7F80" w:rsidRPr="00A54F50">
        <w:rPr>
          <w:sz w:val="24"/>
          <w:lang w:val="sr-Cyrl-RS"/>
        </w:rPr>
        <w:t xml:space="preserve">. </w:t>
      </w:r>
      <w:r>
        <w:rPr>
          <w:b/>
          <w:bCs/>
          <w:i/>
          <w:iCs/>
          <w:sz w:val="24"/>
          <w:lang w:val="sr-Cyrl-RS"/>
        </w:rPr>
        <w:t>Trebalo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bi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razmotriti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usklađivanje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postupka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praćenja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ispunjenja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preporuka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skupštinskih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odbora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prvoj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periodičnim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revizijama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JBS</w:t>
      </w:r>
      <w:r w:rsidR="00AA7F80" w:rsidRPr="008E5988">
        <w:rPr>
          <w:b/>
          <w:bCs/>
          <w:i/>
          <w:iCs/>
          <w:sz w:val="24"/>
          <w:lang w:val="sr-Cyrl-RS"/>
        </w:rPr>
        <w:t>.</w:t>
      </w:r>
    </w:p>
    <w:p w14:paraId="6BC822EE" w14:textId="0DE5AA58" w:rsidR="00843802" w:rsidRPr="008E5988" w:rsidRDefault="00AA7F80" w:rsidP="008E5988">
      <w:pPr>
        <w:pStyle w:val="ListParagraph"/>
        <w:numPr>
          <w:ilvl w:val="0"/>
          <w:numId w:val="12"/>
        </w:numPr>
        <w:tabs>
          <w:tab w:val="left" w:pos="1427"/>
        </w:tabs>
        <w:spacing w:before="268"/>
        <w:ind w:left="1427" w:right="705"/>
        <w:rPr>
          <w:lang w:val="sr-Cyrl-RS"/>
        </w:rPr>
      </w:pP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U</w:t>
      </w: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vezi</w:t>
      </w: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sa</w:t>
      </w: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razmatranjem</w:t>
      </w: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predloga</w:t>
      </w: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preporuka</w:t>
      </w: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Komisije</w:t>
      </w: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za</w:t>
      </w: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reviziju</w:t>
      </w: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od</w:t>
      </w: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strane</w:t>
      </w: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odgovarajućih</w:t>
      </w: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skupštinskih</w:t>
      </w: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odbora</w:t>
      </w:r>
      <w:r w:rsidRPr="008E5988">
        <w:rPr>
          <w:sz w:val="24"/>
          <w:lang w:val="sr-Cyrl-RS"/>
        </w:rPr>
        <w:t xml:space="preserve">, </w:t>
      </w:r>
      <w:r w:rsidR="006E6361">
        <w:rPr>
          <w:sz w:val="24"/>
          <w:lang w:val="sr-Cyrl-RS"/>
        </w:rPr>
        <w:t>Mišljenje</w:t>
      </w: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iz</w:t>
      </w: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marta</w:t>
      </w:r>
      <w:r w:rsidRPr="008E5988">
        <w:rPr>
          <w:sz w:val="24"/>
          <w:lang w:val="sr-Cyrl-RS"/>
        </w:rPr>
        <w:t xml:space="preserve"> 2025. </w:t>
      </w:r>
      <w:r w:rsidR="006E6361">
        <w:rPr>
          <w:sz w:val="24"/>
          <w:lang w:val="sr-Cyrl-RS"/>
        </w:rPr>
        <w:t>sadržalo</w:t>
      </w: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je</w:t>
      </w: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sledeću</w:t>
      </w:r>
      <w:r w:rsidRPr="008E5988">
        <w:rPr>
          <w:sz w:val="24"/>
          <w:lang w:val="sr-Cyrl-RS"/>
        </w:rPr>
        <w:t xml:space="preserve"> </w:t>
      </w:r>
      <w:r w:rsidR="006E6361">
        <w:rPr>
          <w:sz w:val="24"/>
          <w:lang w:val="sr-Cyrl-RS"/>
        </w:rPr>
        <w:t>preporuku</w:t>
      </w:r>
      <w:r w:rsidRPr="008E5988">
        <w:rPr>
          <w:sz w:val="24"/>
          <w:lang w:val="sr-Cyrl-RS"/>
        </w:rPr>
        <w:t xml:space="preserve">: </w:t>
      </w:r>
      <w:r w:rsidRPr="008E5988">
        <w:rPr>
          <w:i/>
          <w:iCs/>
          <w:sz w:val="24"/>
          <w:lang w:val="sr-Cyrl-RS"/>
        </w:rPr>
        <w:t>„</w:t>
      </w:r>
      <w:r w:rsidR="006E6361">
        <w:rPr>
          <w:i/>
          <w:iCs/>
          <w:sz w:val="24"/>
          <w:lang w:val="sr-Cyrl-RS"/>
        </w:rPr>
        <w:t>Da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bi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se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pružila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prilika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za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tumačenje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tehničkih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aspekata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preporuka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Komisije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za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reviziju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za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poboljšanje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tačnosti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i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ažuriranja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JBS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iznetih</w:t>
      </w:r>
      <w:r w:rsidR="00044173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u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njenom</w:t>
      </w:r>
      <w:r w:rsidR="00044173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Izveštaju</w:t>
      </w:r>
      <w:r w:rsidR="00044173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o</w:t>
      </w:r>
      <w:r w:rsidR="00044173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reviziji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JBS</w:t>
      </w:r>
      <w:r w:rsidRPr="008E5988">
        <w:rPr>
          <w:i/>
          <w:iCs/>
          <w:sz w:val="24"/>
          <w:lang w:val="sr-Cyrl-RS"/>
        </w:rPr>
        <w:t xml:space="preserve">, </w:t>
      </w:r>
      <w:r w:rsidR="006E6361">
        <w:rPr>
          <w:i/>
          <w:iCs/>
          <w:sz w:val="24"/>
          <w:lang w:val="sr-Cyrl-RS"/>
        </w:rPr>
        <w:t>preporučuje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se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da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se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predstavnici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Komisije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pozovu</w:t>
      </w:r>
      <w:r w:rsidR="00044173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na</w:t>
      </w:r>
      <w:r w:rsidR="00044173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sastanke</w:t>
      </w:r>
      <w:r w:rsidR="00044173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relevantnih</w:t>
      </w:r>
      <w:r w:rsidR="00044173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skupštinskih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odbora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na</w:t>
      </w:r>
      <w:r w:rsidR="00044173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kojima</w:t>
      </w:r>
      <w:r w:rsidR="00044173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se</w:t>
      </w:r>
      <w:r w:rsidR="00044173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razmatra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Izveštaj</w:t>
      </w:r>
      <w:r w:rsidRPr="008E5988">
        <w:rPr>
          <w:i/>
          <w:iCs/>
          <w:sz w:val="24"/>
          <w:lang w:val="sr-Cyrl-RS"/>
        </w:rPr>
        <w:t xml:space="preserve">, </w:t>
      </w:r>
      <w:r w:rsidR="006E6361">
        <w:rPr>
          <w:i/>
          <w:iCs/>
          <w:sz w:val="24"/>
          <w:lang w:val="sr-Cyrl-RS"/>
        </w:rPr>
        <w:t>i</w:t>
      </w:r>
      <w:r w:rsidR="00044173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utvrđuju</w:t>
      </w:r>
      <w:r w:rsidR="00044173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i</w:t>
      </w:r>
      <w:r w:rsidRPr="008E5988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usvajaju</w:t>
      </w:r>
      <w:r w:rsidR="00044173">
        <w:rPr>
          <w:i/>
          <w:iCs/>
          <w:sz w:val="24"/>
          <w:lang w:val="sr-Cyrl-RS"/>
        </w:rPr>
        <w:t xml:space="preserve"> </w:t>
      </w:r>
      <w:r w:rsidR="006E6361">
        <w:rPr>
          <w:i/>
          <w:iCs/>
          <w:sz w:val="24"/>
          <w:lang w:val="sr-Cyrl-RS"/>
        </w:rPr>
        <w:t>preporuke</w:t>
      </w:r>
      <w:r w:rsidRPr="008E5988">
        <w:rPr>
          <w:i/>
          <w:iCs/>
          <w:sz w:val="24"/>
          <w:lang w:val="sr-Cyrl-RS"/>
        </w:rPr>
        <w:t>.”</w:t>
      </w:r>
      <w:r w:rsidRPr="008E5988">
        <w:rPr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Ova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preporuka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je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adresirana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u</w:t>
      </w:r>
      <w:r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članu</w:t>
      </w:r>
      <w:r w:rsidRPr="008E5988">
        <w:rPr>
          <w:b/>
          <w:bCs/>
          <w:sz w:val="24"/>
          <w:lang w:val="sr-Cyrl-RS"/>
        </w:rPr>
        <w:t xml:space="preserve"> </w:t>
      </w:r>
      <w:r w:rsidR="008E5988" w:rsidRPr="008E5988">
        <w:rPr>
          <w:b/>
          <w:bCs/>
          <w:sz w:val="24"/>
          <w:lang w:val="sr-Cyrl-RS"/>
        </w:rPr>
        <w:t>9</w:t>
      </w:r>
      <w:r w:rsidR="00044173">
        <w:rPr>
          <w:b/>
          <w:bCs/>
          <w:sz w:val="24"/>
          <w:lang w:val="sr-Cyrl-RS"/>
        </w:rPr>
        <w:t>.</w:t>
      </w:r>
      <w:r w:rsidR="008E5988"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ažuriranog</w:t>
      </w:r>
      <w:r w:rsidR="008E5988"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Nacrta</w:t>
      </w:r>
      <w:r w:rsidR="008E5988" w:rsidRPr="008E5988">
        <w:rPr>
          <w:b/>
          <w:bCs/>
          <w:sz w:val="24"/>
          <w:lang w:val="sr-Cyrl-RS"/>
        </w:rPr>
        <w:t xml:space="preserve"> </w:t>
      </w:r>
      <w:r w:rsidR="006E6361">
        <w:rPr>
          <w:b/>
          <w:bCs/>
          <w:sz w:val="24"/>
          <w:lang w:val="sr-Cyrl-RS"/>
        </w:rPr>
        <w:t>zakona</w:t>
      </w:r>
      <w:r w:rsidR="008E5988" w:rsidRPr="008E5988">
        <w:rPr>
          <w:sz w:val="24"/>
          <w:lang w:val="sr-Cyrl-RS"/>
        </w:rPr>
        <w:t xml:space="preserve">. </w:t>
      </w:r>
      <w:r w:rsidR="006E6361">
        <w:rPr>
          <w:sz w:val="24"/>
          <w:lang w:val="sr-Cyrl-RS"/>
        </w:rPr>
        <w:t>Posebno</w:t>
      </w:r>
      <w:r w:rsidR="008E5988" w:rsidRPr="008E5988">
        <w:rPr>
          <w:sz w:val="24"/>
          <w:lang w:val="sr-Cyrl-RS"/>
        </w:rPr>
        <w:t>,</w:t>
      </w:r>
      <w:r w:rsidR="008E5988" w:rsidRPr="008E5988">
        <w:rPr>
          <w:lang w:val="sr-Cyrl-RS"/>
        </w:rPr>
        <w:t xml:space="preserve"> </w:t>
      </w:r>
      <w:r w:rsidR="006E6361">
        <w:rPr>
          <w:lang w:val="sr-Cyrl-RS"/>
        </w:rPr>
        <w:t>novim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stavom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daje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se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Komisiji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za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reviziju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pravo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da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prisustvuje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sednicama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nadležnog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skupštinskog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odbora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i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da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učestvuje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u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njegovom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radu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prilikom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razmatranja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izveštaja</w:t>
      </w:r>
      <w:r w:rsidR="00044173">
        <w:rPr>
          <w:lang w:val="sr-Cyrl-RS"/>
        </w:rPr>
        <w:t xml:space="preserve"> </w:t>
      </w:r>
      <w:r w:rsidR="006E6361">
        <w:rPr>
          <w:lang w:val="sr-Cyrl-RS"/>
        </w:rPr>
        <w:t>o</w:t>
      </w:r>
      <w:r w:rsidR="00044173">
        <w:rPr>
          <w:lang w:val="sr-Cyrl-RS"/>
        </w:rPr>
        <w:t xml:space="preserve"> </w:t>
      </w:r>
      <w:r w:rsidR="006E6361">
        <w:rPr>
          <w:lang w:val="sr-Cyrl-RS"/>
        </w:rPr>
        <w:t>reviziji</w:t>
      </w:r>
      <w:r w:rsidRPr="008E5988">
        <w:rPr>
          <w:lang w:val="sr-Cyrl-RS"/>
        </w:rPr>
        <w:t xml:space="preserve">. </w:t>
      </w:r>
      <w:r w:rsidR="006E6361">
        <w:rPr>
          <w:lang w:val="sr-Cyrl-RS"/>
        </w:rPr>
        <w:t>Međutim</w:t>
      </w:r>
      <w:r w:rsidRPr="008E5988">
        <w:rPr>
          <w:lang w:val="sr-Cyrl-RS"/>
        </w:rPr>
        <w:t xml:space="preserve">, </w:t>
      </w:r>
      <w:r w:rsidR="006E6361">
        <w:rPr>
          <w:lang w:val="sr-Cyrl-RS"/>
        </w:rPr>
        <w:t>ista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odredba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nije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ugrađena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da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se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RIK</w:t>
      </w:r>
      <w:r w:rsidRPr="008E5988">
        <w:rPr>
          <w:lang w:val="sr-Cyrl-RS"/>
        </w:rPr>
        <w:t>-</w:t>
      </w:r>
      <w:r w:rsidR="006E6361">
        <w:rPr>
          <w:lang w:val="sr-Cyrl-RS"/>
        </w:rPr>
        <w:t>u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daju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ista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prava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u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vezi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sa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razmatranjem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njenih</w:t>
      </w:r>
      <w:r w:rsidRPr="008E5988">
        <w:rPr>
          <w:lang w:val="sr-Cyrl-RS"/>
        </w:rPr>
        <w:t xml:space="preserve"> </w:t>
      </w:r>
      <w:r w:rsidR="006E6361">
        <w:rPr>
          <w:lang w:val="sr-Cyrl-RS"/>
        </w:rPr>
        <w:t>izveštaja</w:t>
      </w:r>
      <w:r w:rsidR="00044173">
        <w:rPr>
          <w:lang w:val="sr-Cyrl-RS"/>
        </w:rPr>
        <w:t xml:space="preserve"> </w:t>
      </w:r>
      <w:r w:rsidR="006E6361">
        <w:rPr>
          <w:lang w:val="sr-Cyrl-RS"/>
        </w:rPr>
        <w:t>o</w:t>
      </w:r>
      <w:r w:rsidR="00044173">
        <w:rPr>
          <w:lang w:val="sr-Cyrl-RS"/>
        </w:rPr>
        <w:t xml:space="preserve"> </w:t>
      </w:r>
      <w:r w:rsidR="006E6361">
        <w:rPr>
          <w:lang w:val="sr-Cyrl-RS"/>
        </w:rPr>
        <w:t>reviziji</w:t>
      </w:r>
      <w:r w:rsidR="00CE5810" w:rsidRPr="008E5988">
        <w:rPr>
          <w:lang w:val="sr-Cyrl-RS"/>
        </w:rPr>
        <w:t>.</w:t>
      </w:r>
    </w:p>
    <w:p w14:paraId="77F0E3B1" w14:textId="77777777" w:rsidR="00843802" w:rsidRPr="00A54F50" w:rsidRDefault="00CE5810">
      <w:pPr>
        <w:pStyle w:val="BodyText"/>
        <w:spacing w:before="9"/>
        <w:ind w:left="0"/>
        <w:rPr>
          <w:sz w:val="18"/>
          <w:lang w:val="sr-Cyrl-RS"/>
        </w:rPr>
      </w:pPr>
      <w:r w:rsidRPr="00A54F50">
        <w:rPr>
          <w:noProof/>
          <w:sz w:val="18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19DDB3A" wp14:editId="0FEFFEF0">
                <wp:simplePos x="0" y="0"/>
                <wp:positionH relativeFrom="page">
                  <wp:posOffset>1150619</wp:posOffset>
                </wp:positionH>
                <wp:positionV relativeFrom="paragraph">
                  <wp:posOffset>154660</wp:posOffset>
                </wp:positionV>
                <wp:extent cx="5689600" cy="100330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0" cy="1003300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7C4776" w14:textId="2B7B7911" w:rsidR="00AA7F80" w:rsidRPr="00AA7F80" w:rsidRDefault="006E6361" w:rsidP="00AA7F80">
                            <w:pPr>
                              <w:spacing w:before="120"/>
                              <w:ind w:left="105" w:right="101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PREPORUKA</w:t>
                            </w:r>
                            <w:r w:rsidR="00AA7F80"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</w:t>
                            </w:r>
                          </w:p>
                          <w:p w14:paraId="141A3656" w14:textId="5D5DCCA3" w:rsidR="00843802" w:rsidRPr="008E5988" w:rsidRDefault="006E6361" w:rsidP="00AA7F80">
                            <w:pPr>
                              <w:spacing w:before="120"/>
                              <w:ind w:left="105" w:right="101"/>
                              <w:jc w:val="both"/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U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skladu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sa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preporukom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ODIHR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a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preporučuje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se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da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se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RIK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u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ili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drugom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nezavisnom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telu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odgovornom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za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vršenje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revizija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daju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ista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prava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kao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K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omisiji</w:t>
                            </w:r>
                            <w:r w:rsidR="00044173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za</w:t>
                            </w:r>
                            <w:r w:rsidR="00044173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reviziju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u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vezi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sa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razmatranjem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njenih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izveštaja</w:t>
                            </w:r>
                            <w:r w:rsidR="004F324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o</w:t>
                            </w:r>
                            <w:r w:rsidR="004F324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izvršenoj</w:t>
                            </w:r>
                            <w:r w:rsidR="004F324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reviziji</w:t>
                            </w:r>
                            <w:r w:rsidR="004F324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od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strane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odbora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DDB3A" id="Textbox 59" o:spid="_x0000_s1034" type="#_x0000_t202" style="position:absolute;margin-left:90.6pt;margin-top:12.2pt;width:448pt;height:79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" fillcolor="#ebf3fd" strokecolor="#005595" strokeweight=".08431mm">
                <v:path arrowok="t"/>
                <v:textbox inset="0,0,0,0">
                  <w:txbxContent>
                    <w:p w14:paraId="027C4776" w14:textId="2B7B7911" w:rsidR="00AA7F80" w:rsidRPr="00AA7F80" w:rsidRDefault="006E6361" w:rsidP="00AA7F80">
                      <w:pPr>
                        <w:spacing w:before="120"/>
                        <w:ind w:left="105" w:right="101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PREPORUKA</w:t>
                      </w:r>
                      <w:r w:rsidR="00AA7F80"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</w:t>
                      </w:r>
                    </w:p>
                    <w:p w14:paraId="141A3656" w14:textId="5D5DCCA3" w:rsidR="00843802" w:rsidRPr="008E5988" w:rsidRDefault="006E6361" w:rsidP="00AA7F80">
                      <w:pPr>
                        <w:spacing w:before="120"/>
                        <w:ind w:left="105" w:right="101"/>
                        <w:jc w:val="both"/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U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skladu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sa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preporukom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ODIHR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a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preporučuje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se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da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se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RIK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u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ili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drugom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nezavisnom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telu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odgovornom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za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vršenje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revizija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daju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ista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prava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kao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K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omisiji</w:t>
                      </w:r>
                      <w:r w:rsidR="00044173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za</w:t>
                      </w:r>
                      <w:r w:rsidR="00044173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reviziju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u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vezi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sa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razmatranjem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njenih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izveštaja</w:t>
                      </w:r>
                      <w:r w:rsidR="004F324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o</w:t>
                      </w:r>
                      <w:r w:rsidR="004F324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izvršenoj</w:t>
                      </w:r>
                      <w:r w:rsidR="004F324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reviziji</w:t>
                      </w:r>
                      <w:r w:rsidR="004F324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od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strane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odbora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5C06CB" w14:textId="77777777" w:rsidR="00843802" w:rsidRPr="00A54F50" w:rsidRDefault="00843802">
      <w:pPr>
        <w:pStyle w:val="BodyText"/>
        <w:spacing w:before="1"/>
        <w:ind w:left="0"/>
        <w:rPr>
          <w:lang w:val="sr-Cyrl-RS"/>
        </w:rPr>
      </w:pPr>
    </w:p>
    <w:p w14:paraId="3C2A4AFE" w14:textId="24987308" w:rsidR="00AA7F80" w:rsidRPr="008E5988" w:rsidRDefault="006E6361" w:rsidP="008E5988">
      <w:pPr>
        <w:pStyle w:val="ListParagraph"/>
        <w:numPr>
          <w:ilvl w:val="0"/>
          <w:numId w:val="12"/>
        </w:numPr>
        <w:tabs>
          <w:tab w:val="left" w:pos="1427"/>
        </w:tabs>
        <w:spacing w:before="120"/>
        <w:ind w:right="704"/>
        <w:rPr>
          <w:b/>
          <w:bCs/>
          <w:i/>
          <w:iCs/>
          <w:sz w:val="24"/>
          <w:lang w:val="sr-Cyrl-RS"/>
        </w:rPr>
      </w:pPr>
      <w:r>
        <w:rPr>
          <w:sz w:val="24"/>
          <w:lang w:val="sr-Cyrl-RS"/>
        </w:rPr>
        <w:t>Prema</w:t>
      </w:r>
      <w:r w:rsidR="005B05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5B05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Komisija</w:t>
      </w:r>
      <w:r w:rsidR="005B05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5B05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5B05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B05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dužna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Narodnoj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podnese</w:t>
      </w:r>
      <w:r w:rsidR="005B05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izveštaj</w:t>
      </w:r>
      <w:r w:rsidR="005B05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5B05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jednokratnoj</w:t>
      </w:r>
      <w:r w:rsidR="005B05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reviziji</w:t>
      </w:r>
      <w:r w:rsidR="004F324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roku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AA7F80" w:rsidRPr="00A54F50">
        <w:rPr>
          <w:sz w:val="24"/>
          <w:lang w:val="sr-Cyrl-RS"/>
        </w:rPr>
        <w:t xml:space="preserve"> 30 </w:t>
      </w:r>
      <w:r>
        <w:rPr>
          <w:sz w:val="24"/>
          <w:lang w:val="sr-Cyrl-RS"/>
        </w:rPr>
        <w:t>dana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završetka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revizije</w:t>
      </w:r>
      <w:r w:rsidR="00AA7F80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član</w:t>
      </w:r>
      <w:r w:rsidR="00AA7F80" w:rsidRPr="00A54F50">
        <w:rPr>
          <w:sz w:val="24"/>
          <w:lang w:val="sr-Cyrl-RS"/>
        </w:rPr>
        <w:t xml:space="preserve"> 7, </w:t>
      </w:r>
      <w:r>
        <w:rPr>
          <w:sz w:val="24"/>
          <w:lang w:val="sr-Cyrl-RS"/>
        </w:rPr>
        <w:t>isti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rok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predviđen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prethodnoj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članu</w:t>
      </w:r>
      <w:r w:rsidR="00AA7F80" w:rsidRPr="00A54F50">
        <w:rPr>
          <w:sz w:val="24"/>
          <w:lang w:val="sr-Cyrl-RS"/>
        </w:rPr>
        <w:t xml:space="preserve"> 6). </w:t>
      </w:r>
      <w:r>
        <w:rPr>
          <w:sz w:val="24"/>
          <w:lang w:val="sr-Cyrl-RS"/>
        </w:rPr>
        <w:t>Međutim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konstatuje</w:t>
      </w:r>
      <w:r w:rsidR="005B05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5B05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članom</w:t>
      </w:r>
      <w:r w:rsidR="00AA7F80" w:rsidRPr="00A54F50">
        <w:rPr>
          <w:sz w:val="24"/>
          <w:lang w:val="sr-Cyrl-RS"/>
        </w:rPr>
        <w:t xml:space="preserve"> 4. </w:t>
      </w:r>
      <w:r>
        <w:rPr>
          <w:sz w:val="24"/>
          <w:lang w:val="sr-Cyrl-RS"/>
        </w:rPr>
        <w:t>ažuriranog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odnosno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novopredloženim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članom</w:t>
      </w:r>
      <w:r w:rsidR="00AA7F80" w:rsidRPr="00A54F50">
        <w:rPr>
          <w:sz w:val="24"/>
          <w:lang w:val="sr-Cyrl-RS"/>
        </w:rPr>
        <w:t xml:space="preserve"> 22</w:t>
      </w:r>
      <w:r>
        <w:rPr>
          <w:sz w:val="24"/>
          <w:lang w:val="sr-Cyrl-RS"/>
        </w:rPr>
        <w:t>c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ZJBS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predviđen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rok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5B05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podnosi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izveštaje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izvršenoj</w:t>
      </w:r>
      <w:r w:rsidR="005B05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Narodnoj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završetku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svake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AA7F80" w:rsidRPr="00A54F50">
        <w:rPr>
          <w:sz w:val="24"/>
          <w:lang w:val="sr-Cyrl-RS"/>
        </w:rPr>
        <w:t xml:space="preserve">. </w:t>
      </w:r>
      <w:r>
        <w:rPr>
          <w:b/>
          <w:bCs/>
          <w:i/>
          <w:iCs/>
          <w:sz w:val="24"/>
          <w:lang w:val="sr-Cyrl-RS"/>
        </w:rPr>
        <w:t>Radi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pravne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sigurnosti</w:t>
      </w:r>
      <w:r w:rsidR="00AA7F80" w:rsidRPr="008E5988">
        <w:rPr>
          <w:b/>
          <w:bCs/>
          <w:i/>
          <w:iCs/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preporučuje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ažuriranom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Nacrtu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zakona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utvrdi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rok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</w:t>
      </w:r>
      <w:r w:rsidR="005B05BF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kome</w:t>
      </w:r>
      <w:r w:rsidR="005B05BF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je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RIK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dužan</w:t>
      </w:r>
      <w:r w:rsidR="005B05BF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Narodnoj</w:t>
      </w:r>
      <w:r w:rsidR="005B05BF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skupštini</w:t>
      </w:r>
      <w:r w:rsidR="005B05BF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podnese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svoj</w:t>
      </w:r>
      <w:r w:rsidR="005B05BF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izveštaj</w:t>
      </w:r>
      <w:r w:rsidR="005B05BF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</w:t>
      </w:r>
      <w:r w:rsidR="005B05BF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izvršenoj</w:t>
      </w:r>
      <w:r w:rsidR="005B05BF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reviziji</w:t>
      </w:r>
      <w:r w:rsidR="00AA7F80" w:rsidRPr="008E5988">
        <w:rPr>
          <w:b/>
          <w:bCs/>
          <w:i/>
          <w:iCs/>
          <w:sz w:val="24"/>
          <w:lang w:val="sr-Cyrl-RS"/>
        </w:rPr>
        <w:t>.</w:t>
      </w:r>
    </w:p>
    <w:p w14:paraId="3D8BC3DF" w14:textId="6DD31F0A" w:rsidR="00AA7F80" w:rsidRPr="00A54F50" w:rsidRDefault="006E6361" w:rsidP="008E5988">
      <w:pPr>
        <w:pStyle w:val="ListParagraph"/>
        <w:numPr>
          <w:ilvl w:val="0"/>
          <w:numId w:val="12"/>
        </w:numPr>
        <w:tabs>
          <w:tab w:val="left" w:pos="1427"/>
        </w:tabs>
        <w:spacing w:before="120"/>
        <w:ind w:right="704"/>
        <w:rPr>
          <w:sz w:val="24"/>
          <w:lang w:val="sr-Cyrl-RS"/>
        </w:rPr>
      </w:pP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marta</w:t>
      </w:r>
      <w:r w:rsidR="00AA7F80" w:rsidRPr="00A54F50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data</w:t>
      </w:r>
      <w:r w:rsidR="005B05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B05B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sledeća</w:t>
      </w:r>
      <w:r w:rsidR="00F03D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AA7F80" w:rsidRPr="00A54F50">
        <w:rPr>
          <w:sz w:val="24"/>
          <w:lang w:val="sr-Cyrl-RS"/>
        </w:rPr>
        <w:t xml:space="preserve"> </w:t>
      </w:r>
      <w:r w:rsidR="00AA7F80" w:rsidRPr="008E5988">
        <w:rPr>
          <w:i/>
          <w:iCs/>
          <w:sz w:val="24"/>
          <w:lang w:val="sr-Cyrl-RS"/>
        </w:rPr>
        <w:t>„</w:t>
      </w:r>
      <w:r>
        <w:rPr>
          <w:bCs/>
          <w:i/>
          <w:color w:val="000000"/>
          <w:sz w:val="24"/>
          <w:lang w:val="sr-Cyrl-RS"/>
        </w:rPr>
        <w:t>Da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bi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se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dodatno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povećala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transparentnost</w:t>
      </w:r>
      <w:r w:rsidR="00F03D2D" w:rsidRPr="00F03D2D">
        <w:rPr>
          <w:bCs/>
          <w:i/>
          <w:color w:val="000000"/>
          <w:sz w:val="24"/>
          <w:lang w:val="sr-Cyrl-RS"/>
        </w:rPr>
        <w:t xml:space="preserve">, </w:t>
      </w:r>
      <w:r>
        <w:rPr>
          <w:bCs/>
          <w:i/>
          <w:color w:val="000000"/>
          <w:sz w:val="24"/>
          <w:lang w:val="sr-Cyrl-RS"/>
        </w:rPr>
        <w:t>Nacrtom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zakona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bi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moglo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da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se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predvidi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učešće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posmatrača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u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postupku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revizije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i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ažuriranja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. </w:t>
      </w:r>
      <w:r>
        <w:rPr>
          <w:bCs/>
          <w:i/>
          <w:color w:val="000000"/>
          <w:sz w:val="24"/>
          <w:lang w:val="sr-Cyrl-RS"/>
        </w:rPr>
        <w:t>Takođe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bi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moglo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da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se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predvidi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obezbeđivanje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plenarnih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prezentacija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, </w:t>
      </w:r>
      <w:r>
        <w:rPr>
          <w:bCs/>
          <w:i/>
          <w:color w:val="000000"/>
          <w:sz w:val="24"/>
          <w:lang w:val="sr-Cyrl-RS"/>
        </w:rPr>
        <w:t>na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kojima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se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redovno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raspravlja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o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detaljima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rada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Komisije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za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reviziju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sa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širom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grupom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zainteresovanih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strana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i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javnosti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kao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načina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da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se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podrži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puno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učešće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relevantnih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aktera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u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procesu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revizije</w:t>
      </w:r>
      <w:r w:rsidR="00F03D2D" w:rsidRPr="00F03D2D">
        <w:rPr>
          <w:bCs/>
          <w:i/>
          <w:color w:val="000000"/>
          <w:sz w:val="24"/>
          <w:lang w:val="sr-Cyrl-RS"/>
        </w:rPr>
        <w:t xml:space="preserve">, </w:t>
      </w:r>
      <w:r>
        <w:rPr>
          <w:bCs/>
          <w:i/>
          <w:color w:val="000000"/>
          <w:sz w:val="24"/>
          <w:lang w:val="sr-Cyrl-RS"/>
        </w:rPr>
        <w:t>poveća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transparentnost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i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izgradi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poverenje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javnosti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u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njene</w:t>
      </w:r>
      <w:r w:rsidR="00F03D2D" w:rsidRPr="00F03D2D">
        <w:rPr>
          <w:bCs/>
          <w:i/>
          <w:color w:val="000000"/>
          <w:sz w:val="24"/>
          <w:lang w:val="sr-Cyrl-RS"/>
        </w:rPr>
        <w:t xml:space="preserve"> </w:t>
      </w:r>
      <w:r>
        <w:rPr>
          <w:bCs/>
          <w:i/>
          <w:color w:val="000000"/>
          <w:sz w:val="24"/>
          <w:lang w:val="sr-Cyrl-RS"/>
        </w:rPr>
        <w:t>rezultate</w:t>
      </w:r>
      <w:r w:rsidR="00F03D2D" w:rsidRPr="00F03D2D">
        <w:rPr>
          <w:sz w:val="24"/>
          <w:lang w:val="sr-Cyrl-RS"/>
        </w:rPr>
        <w:t>.“</w:t>
      </w:r>
      <w:r>
        <w:rPr>
          <w:b/>
          <w:bCs/>
          <w:sz w:val="24"/>
          <w:lang w:val="sr-Cyrl-RS"/>
        </w:rPr>
        <w:t>Ažurirani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Nacrt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zakona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ne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adresira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ovu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preporuku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</w:t>
      </w:r>
      <w:r w:rsidR="00F03D2D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pogledu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rada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kako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Komisije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za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reviziju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tako</w:t>
      </w:r>
      <w:r w:rsidR="00F03D2D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ni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RIK</w:t>
      </w:r>
      <w:r w:rsidR="00AA7F80" w:rsidRPr="008E5988">
        <w:rPr>
          <w:b/>
          <w:bCs/>
          <w:sz w:val="24"/>
          <w:lang w:val="sr-Cyrl-RS"/>
        </w:rPr>
        <w:t>-</w:t>
      </w:r>
      <w:r>
        <w:rPr>
          <w:b/>
          <w:bCs/>
          <w:sz w:val="24"/>
          <w:lang w:val="sr-Cyrl-RS"/>
        </w:rPr>
        <w:t>a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u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reviziji</w:t>
      </w:r>
      <w:r w:rsidR="00AA7F80" w:rsidRPr="008E5988">
        <w:rPr>
          <w:b/>
          <w:bCs/>
          <w:sz w:val="24"/>
          <w:lang w:val="sr-Cyrl-RS"/>
        </w:rPr>
        <w:t xml:space="preserve"> </w:t>
      </w:r>
      <w:r>
        <w:rPr>
          <w:b/>
          <w:bCs/>
          <w:sz w:val="24"/>
          <w:lang w:val="sr-Cyrl-RS"/>
        </w:rPr>
        <w:t>JBS</w:t>
      </w:r>
      <w:r w:rsidR="00AA7F80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Napominje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međutim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akreditovanih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posmatrača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izbornom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predviđena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</w:t>
      </w:r>
      <w:r w:rsidR="00F03D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regulišu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izbori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verovatno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uključivala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praćenje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sprovođenja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novog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mandata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AA7F80" w:rsidRPr="00A54F50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periodično</w:t>
      </w:r>
      <w:r w:rsidR="00AA7F80" w:rsidRPr="00A54F50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vrši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AA7F80" w:rsidRPr="00A54F50">
        <w:rPr>
          <w:sz w:val="24"/>
          <w:lang w:val="sr-Cyrl-RS"/>
        </w:rPr>
        <w:t xml:space="preserve">. </w:t>
      </w:r>
      <w:r>
        <w:rPr>
          <w:b/>
          <w:bCs/>
          <w:i/>
          <w:iCs/>
          <w:sz w:val="24"/>
          <w:lang w:val="sr-Cyrl-RS"/>
        </w:rPr>
        <w:t>Radi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pravne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sigurnosti</w:t>
      </w:r>
      <w:r w:rsidR="00AA7F80" w:rsidRPr="008E5988">
        <w:rPr>
          <w:b/>
          <w:bCs/>
          <w:i/>
          <w:iCs/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preporučuje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ažuriranom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Nacrtu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zakona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izričito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predvidi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akreditovani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posmatrači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imaju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pravo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prate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sprovođenje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mandata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Komisije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reviziju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mandata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RIK</w:t>
      </w:r>
      <w:r w:rsidR="00AA7F80" w:rsidRPr="008E5988">
        <w:rPr>
          <w:b/>
          <w:bCs/>
          <w:i/>
          <w:iCs/>
          <w:sz w:val="24"/>
          <w:lang w:val="sr-Cyrl-RS"/>
        </w:rPr>
        <w:t>-</w:t>
      </w:r>
      <w:r>
        <w:rPr>
          <w:b/>
          <w:bCs/>
          <w:i/>
          <w:iCs/>
          <w:sz w:val="24"/>
          <w:lang w:val="sr-Cyrl-RS"/>
        </w:rPr>
        <w:t>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(</w:t>
      </w:r>
      <w:r>
        <w:rPr>
          <w:b/>
          <w:bCs/>
          <w:i/>
          <w:iCs/>
          <w:sz w:val="24"/>
          <w:lang w:val="sr-Cyrl-RS"/>
        </w:rPr>
        <w:t>periodično</w:t>
      </w:r>
      <w:r w:rsidR="00AA7F80" w:rsidRPr="008E5988">
        <w:rPr>
          <w:b/>
          <w:bCs/>
          <w:i/>
          <w:iCs/>
          <w:sz w:val="24"/>
          <w:lang w:val="sr-Cyrl-RS"/>
        </w:rPr>
        <w:t xml:space="preserve">) </w:t>
      </w:r>
      <w:r>
        <w:rPr>
          <w:b/>
          <w:bCs/>
          <w:i/>
          <w:iCs/>
          <w:sz w:val="24"/>
          <w:lang w:val="sr-Cyrl-RS"/>
        </w:rPr>
        <w:t>vrši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reviziju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JBS</w:t>
      </w:r>
      <w:r w:rsidR="00AA7F80" w:rsidRPr="008E5988">
        <w:rPr>
          <w:b/>
          <w:bCs/>
          <w:i/>
          <w:iCs/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odnosno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prate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rad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drugog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tela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kome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je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poverena</w:t>
      </w:r>
      <w:r w:rsidR="001A148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odgovornost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vrši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periodične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revizije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JBS</w:t>
      </w:r>
      <w:r w:rsidR="00AA7F80" w:rsidRPr="00A54F50">
        <w:rPr>
          <w:sz w:val="24"/>
          <w:lang w:val="sr-Cyrl-RS"/>
        </w:rPr>
        <w:t>.</w:t>
      </w:r>
    </w:p>
    <w:p w14:paraId="35E6146F" w14:textId="443A2869" w:rsidR="00AA7F80" w:rsidRPr="008E5988" w:rsidRDefault="006E6361" w:rsidP="008E5988">
      <w:pPr>
        <w:pStyle w:val="ListParagraph"/>
        <w:numPr>
          <w:ilvl w:val="0"/>
          <w:numId w:val="12"/>
        </w:numPr>
        <w:tabs>
          <w:tab w:val="left" w:pos="1427"/>
        </w:tabs>
        <w:spacing w:before="120"/>
        <w:ind w:right="704"/>
        <w:rPr>
          <w:b/>
          <w:bCs/>
          <w:i/>
          <w:iCs/>
          <w:sz w:val="24"/>
          <w:lang w:val="sr-Cyrl-RS"/>
        </w:rPr>
      </w:pPr>
      <w:r>
        <w:rPr>
          <w:sz w:val="24"/>
          <w:lang w:val="sr-Cyrl-RS"/>
        </w:rPr>
        <w:t>Takođe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transparentnošću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marta</w:t>
      </w:r>
      <w:r w:rsidR="00AA7F80" w:rsidRPr="00A54F50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data</w:t>
      </w:r>
      <w:r w:rsidR="001A14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A14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sledeća</w:t>
      </w:r>
      <w:r w:rsidR="001A14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1A1485">
        <w:rPr>
          <w:sz w:val="24"/>
          <w:lang w:val="sr-Cyrl-RS"/>
        </w:rPr>
        <w:t xml:space="preserve">: </w:t>
      </w:r>
      <w:r w:rsidR="001A1485" w:rsidRPr="001A1485">
        <w:rPr>
          <w:i/>
          <w:iCs/>
          <w:sz w:val="24"/>
          <w:lang w:val="sr-Cyrl-RS"/>
        </w:rPr>
        <w:t>„</w:t>
      </w:r>
      <w:r>
        <w:rPr>
          <w:i/>
          <w:iCs/>
          <w:sz w:val="24"/>
          <w:lang w:val="sr-Cyrl-RS"/>
        </w:rPr>
        <w:t>radi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pravne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sigurnosti</w:t>
      </w:r>
      <w:r w:rsidR="001A1485" w:rsidRPr="001A1485">
        <w:rPr>
          <w:i/>
          <w:iCs/>
          <w:sz w:val="24"/>
          <w:lang w:val="sr-Cyrl-RS"/>
        </w:rPr>
        <w:t xml:space="preserve">, </w:t>
      </w:r>
      <w:r>
        <w:rPr>
          <w:i/>
          <w:iCs/>
          <w:sz w:val="24"/>
          <w:lang w:val="sr-Cyrl-RS"/>
        </w:rPr>
        <w:t>član</w:t>
      </w:r>
      <w:r w:rsidR="001A1485" w:rsidRPr="001A1485">
        <w:rPr>
          <w:i/>
          <w:iCs/>
          <w:sz w:val="24"/>
          <w:lang w:val="sr-Cyrl-RS"/>
        </w:rPr>
        <w:t xml:space="preserve"> 23. </w:t>
      </w:r>
      <w:r w:rsidR="001A1485" w:rsidRPr="008E5988">
        <w:rPr>
          <w:i/>
          <w:iCs/>
          <w:sz w:val="24"/>
          <w:lang w:val="sr-Cyrl-RS"/>
        </w:rPr>
        <w:t>[</w:t>
      </w:r>
      <w:r>
        <w:rPr>
          <w:i/>
          <w:iCs/>
          <w:sz w:val="24"/>
          <w:lang w:val="sr-Cyrl-RS"/>
        </w:rPr>
        <w:t>prethodne</w:t>
      </w:r>
      <w:r w:rsidR="001A1485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verzije</w:t>
      </w:r>
      <w:r w:rsidR="001A1485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Nacrta</w:t>
      </w:r>
      <w:r w:rsidR="001A1485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zakona</w:t>
      </w:r>
      <w:r w:rsidR="001A1485" w:rsidRPr="008E5988">
        <w:rPr>
          <w:i/>
          <w:iCs/>
          <w:sz w:val="24"/>
          <w:lang w:val="sr-Cyrl-RS"/>
        </w:rPr>
        <w:t>]</w:t>
      </w:r>
      <w:r w:rsid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treba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da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precizira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na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koji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zakon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se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poziva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u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pogledu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razloga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za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održavanje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zatvorenih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sednica</w:t>
      </w:r>
      <w:r w:rsidR="001A1485" w:rsidRPr="001A1485">
        <w:rPr>
          <w:i/>
          <w:iCs/>
          <w:sz w:val="24"/>
          <w:lang w:val="sr-Cyrl-RS"/>
        </w:rPr>
        <w:t xml:space="preserve"> </w:t>
      </w:r>
      <w:r w:rsidR="001A1485" w:rsidRPr="008E5988">
        <w:rPr>
          <w:i/>
          <w:iCs/>
          <w:sz w:val="24"/>
          <w:lang w:val="sr-Cyrl-RS"/>
        </w:rPr>
        <w:t>[</w:t>
      </w:r>
      <w:r>
        <w:rPr>
          <w:i/>
          <w:iCs/>
          <w:sz w:val="24"/>
          <w:lang w:val="sr-Cyrl-RS"/>
        </w:rPr>
        <w:t>Komisije</w:t>
      </w:r>
      <w:r w:rsidR="001A1485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za</w:t>
      </w:r>
      <w:r w:rsidR="001A1485" w:rsidRPr="008E5988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reviziju</w:t>
      </w:r>
      <w:r w:rsidR="001A1485" w:rsidRPr="008E5988">
        <w:rPr>
          <w:i/>
          <w:iCs/>
          <w:sz w:val="24"/>
          <w:lang w:val="sr-Cyrl-RS"/>
        </w:rPr>
        <w:t xml:space="preserve">] </w:t>
      </w:r>
      <w:r>
        <w:rPr>
          <w:i/>
          <w:iCs/>
          <w:sz w:val="24"/>
          <w:lang w:val="sr-Cyrl-RS"/>
        </w:rPr>
        <w:t>i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mogao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bi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da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takve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razloge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izričito</w:t>
      </w:r>
      <w:r w:rsidR="001A1485" w:rsidRPr="001A1485">
        <w:rPr>
          <w:i/>
          <w:iCs/>
          <w:sz w:val="24"/>
          <w:lang w:val="sr-Cyrl-RS"/>
        </w:rPr>
        <w:t xml:space="preserve"> </w:t>
      </w:r>
      <w:r>
        <w:rPr>
          <w:i/>
          <w:iCs/>
          <w:sz w:val="24"/>
          <w:lang w:val="sr-Cyrl-RS"/>
        </w:rPr>
        <w:t>navede</w:t>
      </w:r>
      <w:r w:rsidR="001A148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odnosi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odredbu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kojoj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navodi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može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odlučiti</w:t>
      </w:r>
      <w:r w:rsidR="001A14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14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isključiti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</w:t>
      </w:r>
      <w:r w:rsidR="00AA7F80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verovatno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sednica</w:t>
      </w:r>
      <w:r w:rsidR="00AA7F80" w:rsidRPr="00A54F50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iz</w:t>
      </w:r>
      <w:r w:rsidR="00AA7F80" w:rsidRPr="00A54F50">
        <w:rPr>
          <w:sz w:val="24"/>
          <w:lang w:val="sr-Cyrl-RS"/>
        </w:rPr>
        <w:t xml:space="preserve"> </w:t>
      </w:r>
      <w:r w:rsidR="00AA7F80" w:rsidRPr="00A54F50">
        <w:rPr>
          <w:sz w:val="24"/>
          <w:lang w:val="sr-Cyrl-RS"/>
        </w:rPr>
        <w:lastRenderedPageBreak/>
        <w:t>„</w:t>
      </w:r>
      <w:r>
        <w:rPr>
          <w:sz w:val="24"/>
          <w:lang w:val="sr-Cyrl-RS"/>
        </w:rPr>
        <w:t>zakonom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predviđenih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razloga</w:t>
      </w:r>
      <w:r w:rsidR="00AA7F80" w:rsidRPr="00A54F50">
        <w:rPr>
          <w:sz w:val="24"/>
          <w:lang w:val="sr-Cyrl-RS"/>
        </w:rPr>
        <w:t xml:space="preserve">“, </w:t>
      </w:r>
      <w:r>
        <w:rPr>
          <w:sz w:val="24"/>
          <w:lang w:val="sr-Cyrl-RS"/>
        </w:rPr>
        <w:t>što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nejasno</w:t>
      </w:r>
      <w:r w:rsidR="001A14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formulisano</w:t>
      </w:r>
      <w:r w:rsidR="00AA7F80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9010E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ovoga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ažurirani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sadrži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odredbu</w:t>
      </w:r>
      <w:r w:rsidR="00AA7F80" w:rsidRPr="00A54F50">
        <w:rPr>
          <w:sz w:val="24"/>
          <w:lang w:val="sr-Cyrl-RS"/>
        </w:rPr>
        <w:t xml:space="preserve"> </w:t>
      </w:r>
      <w:r w:rsidR="009010E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</w:t>
      </w:r>
      <w:r w:rsidR="009010E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stoga</w:t>
      </w:r>
      <w:r w:rsidR="00AA7F80" w:rsidRPr="00A54F5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ova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debatna</w:t>
      </w:r>
      <w:r w:rsidR="00AA7F80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Preostala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odredba</w:t>
      </w:r>
      <w:r w:rsidR="00AA7F80" w:rsidRPr="00A54F5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sada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</w:t>
      </w:r>
      <w:r w:rsidR="00AA7F80" w:rsidRPr="00A54F50">
        <w:rPr>
          <w:sz w:val="24"/>
          <w:lang w:val="sr-Cyrl-RS"/>
        </w:rPr>
        <w:t xml:space="preserve"> 24)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dalje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javan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obezbeđuje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objavljivanjem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određenih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dokumenata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veb</w:t>
      </w:r>
      <w:r w:rsidR="009010ED">
        <w:rPr>
          <w:sz w:val="24"/>
          <w:lang w:val="sr-Cyrl-RS"/>
        </w:rPr>
        <w:t>-</w:t>
      </w:r>
      <w:r>
        <w:rPr>
          <w:sz w:val="24"/>
          <w:lang w:val="sr-Cyrl-RS"/>
        </w:rPr>
        <w:t>prezentaciji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Narodne</w:t>
      </w:r>
      <w:r w:rsidR="00AA7F80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AA7F80" w:rsidRPr="00A54F50">
        <w:rPr>
          <w:sz w:val="24"/>
          <w:lang w:val="sr-Cyrl-RS"/>
        </w:rPr>
        <w:t xml:space="preserve">. </w:t>
      </w:r>
      <w:r>
        <w:rPr>
          <w:b/>
          <w:bCs/>
          <w:i/>
          <w:iCs/>
          <w:sz w:val="24"/>
          <w:lang w:val="sr-Cyrl-RS"/>
        </w:rPr>
        <w:t>S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tim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vezi</w:t>
      </w:r>
      <w:r w:rsidR="00AA7F80" w:rsidRPr="008E5988">
        <w:rPr>
          <w:b/>
          <w:bCs/>
          <w:i/>
          <w:iCs/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preporučuje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Nacrtom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zakona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izričito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predvidi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je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rad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RIK</w:t>
      </w:r>
      <w:r w:rsidR="00AA7F80" w:rsidRPr="008E5988">
        <w:rPr>
          <w:b/>
          <w:bCs/>
          <w:i/>
          <w:iCs/>
          <w:sz w:val="24"/>
          <w:lang w:val="sr-Cyrl-RS"/>
        </w:rPr>
        <w:t>-</w:t>
      </w:r>
      <w:r>
        <w:rPr>
          <w:b/>
          <w:bCs/>
          <w:i/>
          <w:iCs/>
          <w:sz w:val="24"/>
          <w:lang w:val="sr-Cyrl-RS"/>
        </w:rPr>
        <w:t>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ili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drugog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nezavisnog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tela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kome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je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poverena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odgovornost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vršenje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revizije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javan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javnost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revizorskog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rada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dodatno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obezbeđuje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objavljivanjem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relevantnih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dokumenata</w:t>
      </w:r>
      <w:r w:rsidR="00AA7F80" w:rsidRPr="008E5988">
        <w:rPr>
          <w:b/>
          <w:bCs/>
          <w:i/>
          <w:iCs/>
          <w:sz w:val="24"/>
          <w:lang w:val="sr-Cyrl-RS"/>
        </w:rPr>
        <w:t>.</w:t>
      </w:r>
    </w:p>
    <w:p w14:paraId="36E0C746" w14:textId="6D033815" w:rsidR="00843802" w:rsidRPr="008E5988" w:rsidRDefault="006E6361" w:rsidP="008E5988">
      <w:pPr>
        <w:pStyle w:val="ListParagraph"/>
        <w:numPr>
          <w:ilvl w:val="0"/>
          <w:numId w:val="12"/>
        </w:numPr>
        <w:tabs>
          <w:tab w:val="left" w:pos="1427"/>
        </w:tabs>
        <w:spacing w:before="268"/>
        <w:ind w:left="1427" w:right="705"/>
        <w:rPr>
          <w:sz w:val="24"/>
          <w:lang w:val="sr-Cyrl-RS"/>
        </w:rPr>
      </w:pPr>
      <w:r>
        <w:rPr>
          <w:sz w:val="24"/>
          <w:lang w:val="sr-Cyrl-RS"/>
        </w:rPr>
        <w:t>Na</w:t>
      </w:r>
      <w:r w:rsidR="00AA7F80" w:rsidRPr="008E598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kraju</w:t>
      </w:r>
      <w:r w:rsidR="00AA7F80" w:rsidRPr="008E598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ODIHR</w:t>
      </w:r>
      <w:r w:rsidR="00AA7F80" w:rsidRPr="008E598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koristi</w:t>
      </w:r>
      <w:r w:rsidR="00AA7F80" w:rsidRPr="008E598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ovu</w:t>
      </w:r>
      <w:r w:rsidR="00AA7F80" w:rsidRPr="008E598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priliku</w:t>
      </w:r>
      <w:r w:rsidR="00AA7F80" w:rsidRPr="008E598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A7F80" w:rsidRPr="008E598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ponovi</w:t>
      </w:r>
      <w:r w:rsidR="00AA7F80" w:rsidRPr="008E598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svoju</w:t>
      </w:r>
      <w:r w:rsidR="00AA7F80" w:rsidRPr="008E598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opštu</w:t>
      </w:r>
      <w:r w:rsidR="00AA7F80" w:rsidRPr="008E598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preporuku</w:t>
      </w:r>
      <w:r w:rsidR="00AA7F80" w:rsidRPr="008E598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A7F80" w:rsidRPr="008E598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svog</w:t>
      </w:r>
      <w:r w:rsidR="009010E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Mišljenja</w:t>
      </w:r>
      <w:r w:rsidR="00AA7F80" w:rsidRPr="008E598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A7F80" w:rsidRPr="008E598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marta</w:t>
      </w:r>
      <w:r w:rsidR="00AA7F80" w:rsidRPr="008E5988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godine</w:t>
      </w:r>
      <w:r w:rsidR="00AA7F80" w:rsidRPr="008E5988">
        <w:rPr>
          <w:sz w:val="24"/>
          <w:lang w:val="sr-Cyrl-RS"/>
        </w:rPr>
        <w:t xml:space="preserve">: </w:t>
      </w:r>
      <w:r w:rsidR="00AA7F80" w:rsidRPr="008E5988">
        <w:rPr>
          <w:i/>
          <w:iCs/>
          <w:sz w:val="24"/>
          <w:lang w:val="sr-Cyrl-RS"/>
        </w:rPr>
        <w:t>„</w:t>
      </w:r>
      <w:r>
        <w:rPr>
          <w:i/>
          <w:iCs/>
          <w:sz w:val="24"/>
          <w:szCs w:val="24"/>
          <w:lang w:val="sr-Cyrl-RS"/>
        </w:rPr>
        <w:t>državni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organi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se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podstiču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da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obezbede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da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nacrt</w:t>
      </w:r>
      <w:r w:rsidR="00AC3896" w:rsidRPr="00AC3896">
        <w:rPr>
          <w:i/>
          <w:iCs/>
          <w:sz w:val="24"/>
          <w:szCs w:val="24"/>
          <w:lang w:val="sr-Cyrl-RS"/>
        </w:rPr>
        <w:t>(</w:t>
      </w:r>
      <w:r>
        <w:rPr>
          <w:i/>
          <w:iCs/>
          <w:sz w:val="24"/>
          <w:szCs w:val="24"/>
          <w:lang w:val="sr-Cyrl-RS"/>
        </w:rPr>
        <w:t>nacrti</w:t>
      </w:r>
      <w:r w:rsidR="00AC3896" w:rsidRPr="00AC3896">
        <w:rPr>
          <w:i/>
          <w:iCs/>
          <w:sz w:val="24"/>
          <w:szCs w:val="24"/>
          <w:lang w:val="sr-Cyrl-RS"/>
        </w:rPr>
        <w:t xml:space="preserve">) </w:t>
      </w:r>
      <w:r>
        <w:rPr>
          <w:i/>
          <w:iCs/>
          <w:sz w:val="24"/>
          <w:szCs w:val="24"/>
          <w:lang w:val="sr-Cyrl-RS"/>
        </w:rPr>
        <w:t>zakona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budu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predmet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inkluzivnih</w:t>
      </w:r>
      <w:r w:rsidR="00AC3896" w:rsidRPr="00AC3896">
        <w:rPr>
          <w:i/>
          <w:iCs/>
          <w:sz w:val="24"/>
          <w:szCs w:val="24"/>
          <w:lang w:val="sr-Cyrl-RS"/>
        </w:rPr>
        <w:t xml:space="preserve">, </w:t>
      </w:r>
      <w:r>
        <w:rPr>
          <w:i/>
          <w:iCs/>
          <w:sz w:val="24"/>
          <w:szCs w:val="24"/>
          <w:lang w:val="sr-Cyrl-RS"/>
        </w:rPr>
        <w:t>opsežnih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i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delotvornih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konsultacija</w:t>
      </w:r>
      <w:r w:rsidR="00AC3896" w:rsidRPr="00AC3896">
        <w:rPr>
          <w:i/>
          <w:iCs/>
          <w:sz w:val="24"/>
          <w:szCs w:val="24"/>
          <w:lang w:val="sr-Cyrl-RS"/>
        </w:rPr>
        <w:t xml:space="preserve">, </w:t>
      </w:r>
      <w:r>
        <w:rPr>
          <w:i/>
          <w:iCs/>
          <w:sz w:val="24"/>
          <w:szCs w:val="24"/>
          <w:lang w:val="sr-Cyrl-RS"/>
        </w:rPr>
        <w:t>uključujući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i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sa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civilnim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društvom</w:t>
      </w:r>
      <w:r w:rsidR="00AC3896" w:rsidRPr="00AC3896">
        <w:rPr>
          <w:i/>
          <w:iCs/>
          <w:sz w:val="24"/>
          <w:szCs w:val="24"/>
          <w:lang w:val="sr-Cyrl-RS"/>
        </w:rPr>
        <w:t xml:space="preserve">. </w:t>
      </w:r>
      <w:r>
        <w:rPr>
          <w:i/>
          <w:iCs/>
          <w:sz w:val="24"/>
          <w:szCs w:val="24"/>
          <w:lang w:val="sr-Cyrl-RS"/>
        </w:rPr>
        <w:t>Prema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gore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navedenim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principima</w:t>
      </w:r>
      <w:r w:rsidR="00AC3896" w:rsidRPr="00AC3896">
        <w:rPr>
          <w:i/>
          <w:iCs/>
          <w:sz w:val="24"/>
          <w:szCs w:val="24"/>
          <w:lang w:val="sr-Cyrl-RS"/>
        </w:rPr>
        <w:t xml:space="preserve">, </w:t>
      </w:r>
      <w:r>
        <w:rPr>
          <w:i/>
          <w:iCs/>
          <w:sz w:val="24"/>
          <w:szCs w:val="24"/>
          <w:lang w:val="sr-Cyrl-RS"/>
        </w:rPr>
        <w:t>takve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konsultacije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treba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da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se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odvijaju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blagovremeno</w:t>
      </w:r>
      <w:r w:rsidR="00AC3896" w:rsidRPr="00AC3896">
        <w:rPr>
          <w:i/>
          <w:iCs/>
          <w:sz w:val="24"/>
          <w:szCs w:val="24"/>
          <w:lang w:val="sr-Cyrl-RS"/>
        </w:rPr>
        <w:t xml:space="preserve">, </w:t>
      </w:r>
      <w:r>
        <w:rPr>
          <w:i/>
          <w:iCs/>
          <w:sz w:val="24"/>
          <w:szCs w:val="24"/>
          <w:lang w:val="sr-Cyrl-RS"/>
        </w:rPr>
        <w:t>u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svim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fazama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procesa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donošenja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zakona</w:t>
      </w:r>
      <w:r w:rsidR="00AC3896" w:rsidRPr="00AC3896">
        <w:rPr>
          <w:i/>
          <w:iCs/>
          <w:sz w:val="24"/>
          <w:szCs w:val="24"/>
          <w:lang w:val="sr-Cyrl-RS"/>
        </w:rPr>
        <w:t xml:space="preserve">, </w:t>
      </w:r>
      <w:r>
        <w:rPr>
          <w:i/>
          <w:iCs/>
          <w:sz w:val="24"/>
          <w:szCs w:val="24"/>
          <w:lang w:val="sr-Cyrl-RS"/>
        </w:rPr>
        <w:t>i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da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se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striktno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pridržavaju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utvrđenih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pravila</w:t>
      </w:r>
      <w:r w:rsidR="00AC3896" w:rsidRPr="00AC3896">
        <w:rPr>
          <w:i/>
          <w:iCs/>
          <w:sz w:val="24"/>
          <w:szCs w:val="24"/>
          <w:lang w:val="sr-Cyrl-RS"/>
        </w:rPr>
        <w:t xml:space="preserve">. </w:t>
      </w:r>
      <w:r>
        <w:rPr>
          <w:i/>
          <w:iCs/>
          <w:sz w:val="24"/>
          <w:szCs w:val="24"/>
          <w:lang w:val="sr-Cyrl-RS"/>
        </w:rPr>
        <w:t>Trebalo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bi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razmotriti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preduzimanje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mera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za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podsticanje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opozicionih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stranki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i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aktera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civilnog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društva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da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se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ponovo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uključe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u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proces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konsultacija</w:t>
      </w:r>
      <w:r w:rsidR="00AC3896" w:rsidRPr="00AC3896">
        <w:rPr>
          <w:i/>
          <w:iCs/>
          <w:sz w:val="24"/>
          <w:szCs w:val="24"/>
          <w:lang w:val="sr-Cyrl-RS"/>
        </w:rPr>
        <w:t xml:space="preserve">. </w:t>
      </w:r>
      <w:r>
        <w:rPr>
          <w:i/>
          <w:iCs/>
          <w:sz w:val="24"/>
          <w:szCs w:val="24"/>
          <w:lang w:val="sr-Cyrl-RS"/>
        </w:rPr>
        <w:t>Kao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važan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element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dobrog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zakonodavstva</w:t>
      </w:r>
      <w:r w:rsidR="00AC3896" w:rsidRPr="00AC3896">
        <w:rPr>
          <w:i/>
          <w:iCs/>
          <w:sz w:val="24"/>
          <w:szCs w:val="24"/>
          <w:lang w:val="sr-Cyrl-RS"/>
        </w:rPr>
        <w:t xml:space="preserve">, </w:t>
      </w:r>
      <w:r>
        <w:rPr>
          <w:i/>
          <w:iCs/>
          <w:sz w:val="24"/>
          <w:szCs w:val="24"/>
          <w:lang w:val="sr-Cyrl-RS"/>
        </w:rPr>
        <w:t>takođe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je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potrebno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da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se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uspostavi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konzistentan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sistem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praćenja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i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evaluacije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implementacije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Nacrta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zakona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i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njegovog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uticaja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koji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bi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efikasno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ocenjivao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funkcionisanje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i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efektivnost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Nacrta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zakona</w:t>
      </w:r>
      <w:r w:rsidR="00AC3896" w:rsidRPr="00AC3896">
        <w:rPr>
          <w:i/>
          <w:iCs/>
          <w:sz w:val="24"/>
          <w:szCs w:val="24"/>
          <w:lang w:val="sr-Cyrl-RS"/>
        </w:rPr>
        <w:t xml:space="preserve">, </w:t>
      </w:r>
      <w:r>
        <w:rPr>
          <w:i/>
          <w:iCs/>
          <w:sz w:val="24"/>
          <w:szCs w:val="24"/>
          <w:lang w:val="sr-Cyrl-RS"/>
        </w:rPr>
        <w:t>nakon</w:t>
      </w:r>
      <w:r w:rsidR="00AC3896" w:rsidRPr="00AC3896">
        <w:rPr>
          <w:i/>
          <w:iCs/>
          <w:sz w:val="24"/>
          <w:szCs w:val="24"/>
          <w:lang w:val="sr-Cyrl-RS"/>
        </w:rPr>
        <w:t xml:space="preserve"> </w:t>
      </w:r>
      <w:r>
        <w:rPr>
          <w:i/>
          <w:iCs/>
          <w:sz w:val="24"/>
          <w:szCs w:val="24"/>
          <w:lang w:val="sr-Cyrl-RS"/>
        </w:rPr>
        <w:t>usvajanja</w:t>
      </w:r>
      <w:r w:rsidR="00AC3896" w:rsidRPr="00AC3896">
        <w:rPr>
          <w:i/>
          <w:iCs/>
          <w:sz w:val="24"/>
          <w:szCs w:val="24"/>
          <w:lang w:val="sr-Cyrl-RS"/>
        </w:rPr>
        <w:t>.</w:t>
      </w:r>
      <w:r w:rsidR="00CE5810" w:rsidRPr="00AC3896">
        <w:rPr>
          <w:i/>
          <w:iCs/>
          <w:sz w:val="24"/>
          <w:szCs w:val="24"/>
          <w:lang w:val="sr-Cyrl-RS"/>
        </w:rPr>
        <w:t>”</w:t>
      </w:r>
    </w:p>
    <w:p w14:paraId="68498D83" w14:textId="77777777" w:rsidR="00843802" w:rsidRPr="00A54F50" w:rsidRDefault="00A938F4" w:rsidP="00A938F4">
      <w:pPr>
        <w:pStyle w:val="BodyText"/>
        <w:tabs>
          <w:tab w:val="left" w:pos="7368"/>
        </w:tabs>
        <w:spacing w:before="268" w:line="276" w:lineRule="auto"/>
        <w:ind w:left="0" w:right="706"/>
        <w:rPr>
          <w:lang w:val="sr-Cyrl-RS"/>
        </w:rPr>
      </w:pPr>
      <w:r w:rsidRPr="00A54F50">
        <w:rPr>
          <w:lang w:val="sr-Cyrl-RS"/>
        </w:rPr>
        <w:tab/>
      </w:r>
    </w:p>
    <w:sectPr w:rsidR="00843802" w:rsidRPr="00A54F50">
      <w:pgSz w:w="11910" w:h="16840"/>
      <w:pgMar w:top="920" w:right="425" w:bottom="1200" w:left="425" w:header="725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9DE05" w14:textId="77777777" w:rsidR="00274FC4" w:rsidRDefault="00274FC4">
      <w:r>
        <w:separator/>
      </w:r>
    </w:p>
  </w:endnote>
  <w:endnote w:type="continuationSeparator" w:id="0">
    <w:p w14:paraId="43CFD147" w14:textId="77777777" w:rsidR="00274FC4" w:rsidRDefault="0027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4F7F0" w14:textId="77777777" w:rsidR="006E6361" w:rsidRDefault="006E6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FE0A9" w14:textId="77777777" w:rsidR="006E6361" w:rsidRDefault="006E63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BDCA2" w14:textId="77777777" w:rsidR="006E6361" w:rsidRDefault="006E636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CE283" w14:textId="77777777" w:rsidR="00843802" w:rsidRDefault="00CE5810">
    <w:pPr>
      <w:pStyle w:val="BodyText"/>
      <w:spacing w:line="14" w:lineRule="auto"/>
      <w:ind w:left="0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487207936" behindDoc="1" locked="0" layoutInCell="1" allowOverlap="1" wp14:anchorId="39EFCD50" wp14:editId="3FA45080">
              <wp:simplePos x="0" y="0"/>
              <wp:positionH relativeFrom="page">
                <wp:posOffset>6688321</wp:posOffset>
              </wp:positionH>
              <wp:positionV relativeFrom="page">
                <wp:posOffset>9902415</wp:posOffset>
              </wp:positionV>
              <wp:extent cx="20383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F27D6" w14:textId="38888EE2" w:rsidR="00843802" w:rsidRDefault="00CE5810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E6361"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FCD5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6" type="#_x0000_t202" style="position:absolute;margin-left:526.65pt;margin-top:779.7pt;width:16.05pt;height:14.25pt;z-index:-16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" filled="f" stroked="f">
              <v:path arrowok="t"/>
              <v:textbox inset="0,0,0,0">
                <w:txbxContent>
                  <w:p w14:paraId="49FF27D6" w14:textId="38888EE2" w:rsidR="00843802" w:rsidRDefault="00CE5810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E6361"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94AF0" w14:textId="77777777" w:rsidR="00274FC4" w:rsidRDefault="00274FC4">
      <w:r>
        <w:separator/>
      </w:r>
    </w:p>
  </w:footnote>
  <w:footnote w:type="continuationSeparator" w:id="0">
    <w:p w14:paraId="0CA71F53" w14:textId="77777777" w:rsidR="00274FC4" w:rsidRDefault="00274FC4">
      <w:r>
        <w:continuationSeparator/>
      </w:r>
    </w:p>
  </w:footnote>
  <w:footnote w:id="1">
    <w:p w14:paraId="1C79F392" w14:textId="0D032810" w:rsidR="000D1065" w:rsidRPr="000D1065" w:rsidRDefault="000D1065" w:rsidP="00A80CB1">
      <w:pPr>
        <w:pStyle w:val="FootnoteText"/>
        <w:ind w:left="1440" w:right="710" w:hanging="720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            </w:t>
      </w:r>
      <w:r w:rsidRPr="00A54F50">
        <w:rPr>
          <w:lang w:val="sr-Cyrl-RS"/>
        </w:rPr>
        <w:t xml:space="preserve">Видети </w:t>
      </w:r>
      <w:r w:rsidR="00B01881" w:rsidRPr="00B01881">
        <w:rPr>
          <w:color w:val="365F91" w:themeColor="accent1" w:themeShade="BF"/>
          <w:u w:val="single"/>
          <w:lang w:val="sr-Cyrl-RS"/>
        </w:rPr>
        <w:t>М</w:t>
      </w:r>
      <w:r w:rsidRPr="00B01881">
        <w:rPr>
          <w:color w:val="365F91" w:themeColor="accent1" w:themeShade="BF"/>
          <w:u w:val="single"/>
          <w:lang w:val="sr-Cyrl-RS"/>
        </w:rPr>
        <w:t>ишљење</w:t>
      </w:r>
      <w:r w:rsidRPr="00A54F50">
        <w:rPr>
          <w:lang w:val="sr-Cyrl-RS"/>
        </w:rPr>
        <w:t xml:space="preserve"> ОДИХР-а о Нацрту закона о изменама и допунама Закона о јединственом бирачком списку. Мишљење из марта 2025. </w:t>
      </w:r>
      <w:r w:rsidR="00B01881">
        <w:rPr>
          <w:lang w:val="sr-Cyrl-RS"/>
        </w:rPr>
        <w:t>дато је</w:t>
      </w:r>
      <w:r w:rsidRPr="00A54F50">
        <w:rPr>
          <w:lang w:val="sr-Cyrl-RS"/>
        </w:rPr>
        <w:t xml:space="preserve"> </w:t>
      </w:r>
      <w:r w:rsidR="00B01881">
        <w:rPr>
          <w:lang w:val="sr-Cyrl-RS"/>
        </w:rPr>
        <w:t>на</w:t>
      </w:r>
      <w:r w:rsidRPr="00A54F50">
        <w:rPr>
          <w:lang w:val="sr-Cyrl-RS"/>
        </w:rPr>
        <w:t xml:space="preserve"> захтев председника Одбора за уставна </w:t>
      </w:r>
      <w:r w:rsidR="00B01881">
        <w:rPr>
          <w:lang w:val="sr-Cyrl-RS"/>
        </w:rPr>
        <w:t xml:space="preserve">питања </w:t>
      </w:r>
      <w:r w:rsidRPr="00A54F50">
        <w:rPr>
          <w:lang w:val="sr-Cyrl-RS"/>
        </w:rPr>
        <w:t>и законодав</w:t>
      </w:r>
      <w:r w:rsidR="00B01881">
        <w:rPr>
          <w:lang w:val="sr-Cyrl-RS"/>
        </w:rPr>
        <w:t>ство</w:t>
      </w:r>
      <w:r w:rsidRPr="00A54F50">
        <w:rPr>
          <w:lang w:val="sr-Cyrl-RS"/>
        </w:rPr>
        <w:t xml:space="preserve"> Народне скупштине Републике Србије од 10. фебруара 2025. године за </w:t>
      </w:r>
      <w:r w:rsidR="00B01881">
        <w:rPr>
          <w:lang w:val="sr-Cyrl-RS"/>
        </w:rPr>
        <w:t>оцену</w:t>
      </w:r>
      <w:r w:rsidRPr="00A54F50">
        <w:rPr>
          <w:lang w:val="sr-Cyrl-RS"/>
        </w:rPr>
        <w:t xml:space="preserve"> </w:t>
      </w:r>
      <w:r w:rsidR="00B01881">
        <w:rPr>
          <w:lang w:val="sr-Cyrl-RS"/>
        </w:rPr>
        <w:t>Нацрта</w:t>
      </w:r>
      <w:r w:rsidRPr="00A54F50">
        <w:rPr>
          <w:lang w:val="sr-Cyrl-RS"/>
        </w:rPr>
        <w:t xml:space="preserve"> закона који је Народној скупштини поднео народни посланик Угљеша Мрдић 23. јануара 2025. године. </w:t>
      </w:r>
    </w:p>
  </w:footnote>
  <w:footnote w:id="2">
    <w:p w14:paraId="5BB13CB9" w14:textId="50DC54C4" w:rsidR="000D1065" w:rsidRPr="000D1065" w:rsidRDefault="000D1065" w:rsidP="00A80CB1">
      <w:pPr>
        <w:pStyle w:val="FootnoteText"/>
        <w:ind w:left="1440" w:right="710" w:hanging="720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            </w:t>
      </w:r>
      <w:r w:rsidRPr="00A54F50">
        <w:rPr>
          <w:lang w:val="sr-Cyrl-RS"/>
        </w:rPr>
        <w:t xml:space="preserve">Пре </w:t>
      </w:r>
      <w:r w:rsidR="00B01881">
        <w:rPr>
          <w:lang w:val="sr-Cyrl-RS"/>
        </w:rPr>
        <w:t>М</w:t>
      </w:r>
      <w:r w:rsidRPr="00A54F50">
        <w:rPr>
          <w:lang w:val="sr-Cyrl-RS"/>
        </w:rPr>
        <w:t>ишљења</w:t>
      </w:r>
      <w:r w:rsidR="00B01881">
        <w:rPr>
          <w:lang w:val="sr-Cyrl-RS"/>
        </w:rPr>
        <w:t xml:space="preserve"> из марта</w:t>
      </w:r>
      <w:r w:rsidRPr="00A54F50">
        <w:rPr>
          <w:lang w:val="sr-Cyrl-RS"/>
        </w:rPr>
        <w:t>, ОДИХР је 28. новембра 2024. д</w:t>
      </w:r>
      <w:r w:rsidR="00B01881">
        <w:rPr>
          <w:lang w:val="sr-Cyrl-RS"/>
        </w:rPr>
        <w:t>оставио</w:t>
      </w:r>
      <w:r w:rsidRPr="00A54F50">
        <w:rPr>
          <w:lang w:val="sr-Cyrl-RS"/>
        </w:rPr>
        <w:t xml:space="preserve"> неформалне коментаре као одговор на захтев Радне групе за унапређење изборног процеса. Ови коментари су се односили на конкурентне </w:t>
      </w:r>
      <w:r w:rsidR="002356A7">
        <w:rPr>
          <w:lang w:val="sr-Cyrl-RS"/>
        </w:rPr>
        <w:t>предлоге измена и допуна</w:t>
      </w:r>
      <w:r w:rsidRPr="00A54F50">
        <w:rPr>
          <w:lang w:val="sr-Cyrl-RS"/>
        </w:rPr>
        <w:t xml:space="preserve"> </w:t>
      </w:r>
      <w:r w:rsidR="002356A7">
        <w:rPr>
          <w:lang w:val="sr-Cyrl-RS"/>
        </w:rPr>
        <w:t>ЗЈБС</w:t>
      </w:r>
      <w:r w:rsidRPr="00A54F50">
        <w:rPr>
          <w:lang w:val="sr-Cyrl-RS"/>
        </w:rPr>
        <w:t xml:space="preserve"> које су поднели СНС и Центар за истраживање, транспарентност и одговорност (ЦРТА). Оба предлога су накнадно ревидирана у јануару 2025; међутим, Радна група није успела да постигне консензус или усвоји јединствени нацрт. ОДИХР је доставио ажуриране неформалне коментаре</w:t>
      </w:r>
      <w:r>
        <w:rPr>
          <w:lang w:val="sr-Latn-RS"/>
        </w:rPr>
        <w:t xml:space="preserve"> </w:t>
      </w:r>
      <w:r w:rsidRPr="00A54F50">
        <w:rPr>
          <w:lang w:val="sr-Cyrl-RS"/>
        </w:rPr>
        <w:t xml:space="preserve">на ревидиране нацрте 31. јануара и 4. фебруара 2025. године, наглашавајући потребу за усклађивањем кроз инклузиван и транспарентан процес консултација. Јавне расправе, </w:t>
      </w:r>
      <w:r w:rsidR="002356A7">
        <w:rPr>
          <w:lang w:val="sr-Cyrl-RS"/>
        </w:rPr>
        <w:t>започете</w:t>
      </w:r>
      <w:r w:rsidRPr="00A54F50">
        <w:rPr>
          <w:lang w:val="sr-Cyrl-RS"/>
        </w:rPr>
        <w:t xml:space="preserve"> 27. јануара 2025. године, </w:t>
      </w:r>
      <w:r w:rsidR="002356A7">
        <w:rPr>
          <w:lang w:val="sr-Cyrl-RS"/>
        </w:rPr>
        <w:t>суочиле су се с</w:t>
      </w:r>
      <w:r w:rsidRPr="00A54F50">
        <w:rPr>
          <w:lang w:val="sr-Cyrl-RS"/>
        </w:rPr>
        <w:t xml:space="preserve"> процедуралн</w:t>
      </w:r>
      <w:r w:rsidR="002356A7">
        <w:rPr>
          <w:lang w:val="sr-Cyrl-RS"/>
        </w:rPr>
        <w:t>им</w:t>
      </w:r>
      <w:r w:rsidRPr="00A54F50">
        <w:rPr>
          <w:lang w:val="sr-Cyrl-RS"/>
        </w:rPr>
        <w:t xml:space="preserve"> критик</w:t>
      </w:r>
      <w:r w:rsidR="002356A7">
        <w:rPr>
          <w:lang w:val="sr-Cyrl-RS"/>
        </w:rPr>
        <w:t>ама</w:t>
      </w:r>
      <w:r w:rsidRPr="00A54F50">
        <w:rPr>
          <w:lang w:val="sr-Cyrl-RS"/>
        </w:rPr>
        <w:t xml:space="preserve"> и довеле до повлачења опозиционих странака и представника цивилног друштва</w:t>
      </w:r>
    </w:p>
  </w:footnote>
  <w:footnote w:id="3">
    <w:p w14:paraId="52078341" w14:textId="09C5AF44" w:rsidR="000D1065" w:rsidRPr="000D1065" w:rsidRDefault="000D1065" w:rsidP="00A80CB1">
      <w:pPr>
        <w:pStyle w:val="FootnoteText"/>
        <w:ind w:left="1440" w:right="710" w:hanging="720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="003A4369">
        <w:t xml:space="preserve">            </w:t>
      </w:r>
      <w:r w:rsidR="008623B3" w:rsidRPr="00007623">
        <w:rPr>
          <w:lang w:val="sr-Cyrl-RS"/>
        </w:rPr>
        <w:t xml:space="preserve">У ставу  25. </w:t>
      </w:r>
      <w:r w:rsidR="008623B3" w:rsidRPr="00007623">
        <w:rPr>
          <w:color w:val="365F91" w:themeColor="accent1" w:themeShade="BF"/>
          <w:u w:val="single"/>
          <w:lang w:val="sr-Cyrl-RS"/>
        </w:rPr>
        <w:t>Документа ОЕБС-а из Истанбула из 1999</w:t>
      </w:r>
      <w:r w:rsidR="008623B3" w:rsidRPr="00007623">
        <w:rPr>
          <w:lang w:val="sr-Cyrl-RS"/>
        </w:rPr>
        <w:t>. године, државе учеснице ОЕБС-а су се обавезале „да одмах прихвате изборне процене и препоруке ОДИХР-а“</w:t>
      </w:r>
      <w:r w:rsidRPr="00A54F50">
        <w:rPr>
          <w:lang w:val="sr-Cyrl-RS"/>
        </w:rPr>
        <w:t>.</w:t>
      </w:r>
    </w:p>
  </w:footnote>
  <w:footnote w:id="4">
    <w:p w14:paraId="05EA029A" w14:textId="0B4338EC" w:rsidR="003A4369" w:rsidRPr="003A4369" w:rsidRDefault="003A4369" w:rsidP="00A80CB1">
      <w:pPr>
        <w:pStyle w:val="FootnoteText"/>
        <w:ind w:left="1440" w:right="710" w:hanging="720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            </w:t>
      </w:r>
      <w:r w:rsidR="008623B3" w:rsidRPr="00007623">
        <w:rPr>
          <w:lang w:val="sr-Cyrl-RS"/>
        </w:rPr>
        <w:t xml:space="preserve">Видети све претходне </w:t>
      </w:r>
      <w:hyperlink r:id="rId1" w:history="1">
        <w:r w:rsidR="008623B3" w:rsidRPr="00007623">
          <w:rPr>
            <w:rStyle w:val="Hyperlink"/>
            <w:lang w:val="sr-Cyrl-RS"/>
          </w:rPr>
          <w:t>извештаје ОДИХР-а који се односе на изборе у Србији</w:t>
        </w:r>
      </w:hyperlink>
    </w:p>
  </w:footnote>
  <w:footnote w:id="5">
    <w:p w14:paraId="358DA499" w14:textId="25A46328" w:rsidR="003A4369" w:rsidRPr="003A4369" w:rsidRDefault="003A4369" w:rsidP="00A80CB1">
      <w:pPr>
        <w:pStyle w:val="FootnoteText"/>
        <w:ind w:left="1440" w:right="710" w:hanging="720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            </w:t>
      </w:r>
      <w:r w:rsidR="008623B3" w:rsidRPr="00007623">
        <w:rPr>
          <w:lang w:val="sr-Cyrl-RS"/>
        </w:rPr>
        <w:t>Конвенција УН о елиминисању свих облика дискриминације жена (у даљем тексту „CEDAW”), усвојена Резолуцијом Генералне скупштине 34/180 од 18. децембра 1979. године</w:t>
      </w:r>
      <w:r w:rsidRPr="00A54F50">
        <w:rPr>
          <w:lang w:val="sr-Cyrl-RS"/>
        </w:rPr>
        <w:t>. Украјина је депоновала инструмент ратификације ове конвенције 12. марта 1981</w:t>
      </w:r>
      <w:r w:rsidR="008623B3">
        <w:rPr>
          <w:lang w:val="sr-Cyrl-RS"/>
        </w:rPr>
        <w:t>.</w:t>
      </w:r>
    </w:p>
  </w:footnote>
  <w:footnote w:id="6">
    <w:p w14:paraId="3DAA24B9" w14:textId="25F5BF42" w:rsidR="003A4369" w:rsidRPr="003A4369" w:rsidRDefault="003A4369" w:rsidP="00A80CB1">
      <w:pPr>
        <w:pStyle w:val="FootnoteText"/>
        <w:ind w:left="1440" w:right="710" w:hanging="720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            </w:t>
      </w:r>
      <w:r w:rsidR="008623B3" w:rsidRPr="00007623">
        <w:rPr>
          <w:lang w:val="sr-Cyrl-RS"/>
        </w:rPr>
        <w:t>Видети став 32. OЕБС-овог Акционог плана за унапређење родне једнакости,  усвојеног Одлуком бр. 14/04, МЦ.ДЕЦ/14/04 (2004</w:t>
      </w:r>
      <w:r w:rsidR="008623B3">
        <w:rPr>
          <w:lang w:val="sr-Cyrl-RS"/>
        </w:rPr>
        <w:t>)</w:t>
      </w:r>
    </w:p>
  </w:footnote>
  <w:footnote w:id="7">
    <w:p w14:paraId="32797DB4" w14:textId="6D627034" w:rsidR="00496C2B" w:rsidRPr="00496C2B" w:rsidRDefault="00496C2B" w:rsidP="00A80CB1">
      <w:pPr>
        <w:pStyle w:val="FootnoteText"/>
        <w:ind w:left="1526" w:right="620" w:hanging="720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         </w:t>
      </w:r>
      <w:r w:rsidRPr="00A54F50">
        <w:rPr>
          <w:lang w:val="sr-Cyrl-RS"/>
        </w:rPr>
        <w:t>Право на приступ бирачком списку и свим подацима бирача проширено је и на категорију „замени</w:t>
      </w:r>
      <w:r w:rsidR="00A80CB1">
        <w:rPr>
          <w:lang w:val="sr-Cyrl-RS"/>
        </w:rPr>
        <w:t>ка</w:t>
      </w:r>
      <w:r w:rsidRPr="00A54F50">
        <w:rPr>
          <w:lang w:val="sr-Cyrl-RS"/>
        </w:rPr>
        <w:t xml:space="preserve"> чланова“ у ажурираном Нацрту закона (члан 3) </w:t>
      </w:r>
      <w:r w:rsidR="00A80CB1">
        <w:rPr>
          <w:lang w:val="sr-Cyrl-RS"/>
        </w:rPr>
        <w:t>чиме</w:t>
      </w:r>
      <w:r w:rsidRPr="00A54F50">
        <w:rPr>
          <w:lang w:val="sr-Cyrl-RS"/>
        </w:rPr>
        <w:t xml:space="preserve"> се обезбеђује да замени</w:t>
      </w:r>
      <w:r w:rsidR="00A80CB1">
        <w:rPr>
          <w:lang w:val="sr-Cyrl-RS"/>
        </w:rPr>
        <w:t>ци</w:t>
      </w:r>
      <w:r w:rsidRPr="00A54F50">
        <w:rPr>
          <w:lang w:val="sr-Cyrl-RS"/>
        </w:rPr>
        <w:t xml:space="preserve"> чланов</w:t>
      </w:r>
      <w:r w:rsidR="00A80CB1">
        <w:rPr>
          <w:lang w:val="sr-Cyrl-RS"/>
        </w:rPr>
        <w:t>а</w:t>
      </w:r>
      <w:r w:rsidRPr="00A54F50">
        <w:rPr>
          <w:lang w:val="sr-Cyrl-RS"/>
        </w:rPr>
        <w:t xml:space="preserve"> поседују неопходна овлашћења у случају да буду позвани да замене пуноправног члана РИК-а</w:t>
      </w:r>
      <w:r w:rsidR="00A80CB1">
        <w:rPr>
          <w:lang w:val="sr-Cyrl-RS"/>
        </w:rPr>
        <w:t>.</w:t>
      </w:r>
    </w:p>
  </w:footnote>
  <w:footnote w:id="8">
    <w:p w14:paraId="429712BC" w14:textId="37EB2B80" w:rsidR="00496C2B" w:rsidRPr="00496C2B" w:rsidRDefault="00496C2B" w:rsidP="009C30EC">
      <w:pPr>
        <w:pStyle w:val="FootnoteText"/>
        <w:ind w:left="1440" w:right="710" w:hanging="720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83614B">
        <w:rPr>
          <w:lang w:val="sr-Cyrl-RS"/>
        </w:rPr>
        <w:t xml:space="preserve">            </w:t>
      </w:r>
      <w:r w:rsidRPr="00A54F50">
        <w:rPr>
          <w:lang w:val="sr-Cyrl-RS"/>
        </w:rPr>
        <w:t xml:space="preserve">На српском језику, у Нацрту закона доследно се користи термин </w:t>
      </w:r>
      <w:r w:rsidR="00C11E44">
        <w:t xml:space="preserve">“revizia”  </w:t>
      </w:r>
      <w:r w:rsidRPr="00A54F50">
        <w:rPr>
          <w:lang w:val="sr-Cyrl-RS"/>
        </w:rPr>
        <w:t>кој</w:t>
      </w:r>
      <w:r w:rsidR="00494BD3">
        <w:rPr>
          <w:lang w:val="sr-Cyrl-RS"/>
        </w:rPr>
        <w:t>а</w:t>
      </w:r>
      <w:r w:rsidRPr="00A54F50">
        <w:rPr>
          <w:lang w:val="sr-Cyrl-RS"/>
        </w:rPr>
        <w:t xml:space="preserve"> </w:t>
      </w:r>
      <w:r w:rsidR="00494BD3">
        <w:rPr>
          <w:lang w:val="sr-Cyrl-RS"/>
        </w:rPr>
        <w:t>с</w:t>
      </w:r>
      <w:r w:rsidRPr="00A54F50">
        <w:rPr>
          <w:lang w:val="sr-Cyrl-RS"/>
        </w:rPr>
        <w:t>е на енглеск</w:t>
      </w:r>
      <w:r w:rsidR="00494BD3">
        <w:rPr>
          <w:lang w:val="sr-Cyrl-RS"/>
        </w:rPr>
        <w:t>и преводи са</w:t>
      </w:r>
      <w:r w:rsidRPr="00A54F50">
        <w:rPr>
          <w:lang w:val="sr-Cyrl-RS"/>
        </w:rPr>
        <w:t xml:space="preserve"> </w:t>
      </w:r>
      <w:r w:rsidR="00C11E44">
        <w:t xml:space="preserve">“review” </w:t>
      </w:r>
      <w:r w:rsidR="00C11E44">
        <w:rPr>
          <w:lang w:val="sr-Cyrl-RS"/>
        </w:rPr>
        <w:t>и</w:t>
      </w:r>
      <w:r w:rsidRPr="00A54F50">
        <w:rPr>
          <w:lang w:val="sr-Cyrl-RS"/>
        </w:rPr>
        <w:t xml:space="preserve">ли </w:t>
      </w:r>
      <w:r w:rsidR="00C11E44">
        <w:t xml:space="preserve">“audit”  </w:t>
      </w:r>
      <w:r w:rsidRPr="00A54F50">
        <w:rPr>
          <w:lang w:val="sr-Cyrl-RS"/>
        </w:rPr>
        <w:t xml:space="preserve">(у преводу на енглески који </w:t>
      </w:r>
      <w:r w:rsidR="00494BD3">
        <w:rPr>
          <w:lang w:val="sr-Cyrl-RS"/>
        </w:rPr>
        <w:t>је</w:t>
      </w:r>
      <w:r w:rsidRPr="00A54F50">
        <w:rPr>
          <w:lang w:val="sr-Cyrl-RS"/>
        </w:rPr>
        <w:t xml:space="preserve"> ОДИХР д</w:t>
      </w:r>
      <w:r w:rsidR="00494BD3">
        <w:rPr>
          <w:lang w:val="sr-Cyrl-RS"/>
        </w:rPr>
        <w:t>обио од</w:t>
      </w:r>
      <w:r w:rsidRPr="00A54F50">
        <w:rPr>
          <w:lang w:val="sr-Cyrl-RS"/>
        </w:rPr>
        <w:t xml:space="preserve"> српск</w:t>
      </w:r>
      <w:r w:rsidR="00494BD3">
        <w:rPr>
          <w:lang w:val="sr-Cyrl-RS"/>
        </w:rPr>
        <w:t>их</w:t>
      </w:r>
      <w:r w:rsidRPr="00A54F50">
        <w:rPr>
          <w:lang w:val="sr-Cyrl-RS"/>
        </w:rPr>
        <w:t xml:space="preserve"> власти наизменично </w:t>
      </w:r>
      <w:r w:rsidR="00494BD3">
        <w:rPr>
          <w:lang w:val="sr-Cyrl-RS"/>
        </w:rPr>
        <w:t xml:space="preserve">се </w:t>
      </w:r>
      <w:r w:rsidRPr="00A54F50">
        <w:rPr>
          <w:lang w:val="sr-Cyrl-RS"/>
        </w:rPr>
        <w:t xml:space="preserve">користе речи </w:t>
      </w:r>
      <w:r w:rsidR="00494BD3">
        <w:t xml:space="preserve">“revision”  </w:t>
      </w:r>
      <w:r w:rsidRPr="00A54F50">
        <w:rPr>
          <w:lang w:val="sr-Cyrl-RS"/>
        </w:rPr>
        <w:t xml:space="preserve"> и </w:t>
      </w:r>
      <w:r w:rsidR="00494BD3">
        <w:t>“audit”</w:t>
      </w:r>
      <w:r w:rsidRPr="00A54F50">
        <w:rPr>
          <w:lang w:val="sr-Cyrl-RS"/>
        </w:rPr>
        <w:t>)</w:t>
      </w:r>
      <w:r w:rsidR="00494BD3">
        <w:rPr>
          <w:lang w:val="sr-Cyrl-RS"/>
        </w:rPr>
        <w:t>.</w:t>
      </w:r>
      <w:r w:rsidRPr="00A54F50">
        <w:rPr>
          <w:lang w:val="sr-Cyrl-RS"/>
        </w:rPr>
        <w:t xml:space="preserve"> За потребе овог </w:t>
      </w:r>
      <w:r w:rsidR="00494BD3">
        <w:rPr>
          <w:lang w:val="sr-Cyrl-RS"/>
        </w:rPr>
        <w:t>М</w:t>
      </w:r>
      <w:r w:rsidRPr="00A54F50">
        <w:rPr>
          <w:lang w:val="sr-Cyrl-RS"/>
        </w:rPr>
        <w:t xml:space="preserve">ишљења, доследно </w:t>
      </w:r>
      <w:r w:rsidR="00494BD3">
        <w:rPr>
          <w:lang w:val="sr-Cyrl-RS"/>
        </w:rPr>
        <w:t xml:space="preserve">се </w:t>
      </w:r>
      <w:r w:rsidRPr="00A54F50">
        <w:rPr>
          <w:lang w:val="sr-Cyrl-RS"/>
        </w:rPr>
        <w:t>користи</w:t>
      </w:r>
      <w:r w:rsidR="00494BD3">
        <w:rPr>
          <w:lang w:val="sr-Cyrl-RS"/>
        </w:rPr>
        <w:t xml:space="preserve"> реч </w:t>
      </w:r>
      <w:r w:rsidR="00494BD3">
        <w:t>“audit”</w:t>
      </w:r>
      <w:r w:rsidR="00494BD3">
        <w:rPr>
          <w:lang w:val="sr-Cyrl-RS"/>
        </w:rPr>
        <w:t>(ревизија).</w:t>
      </w:r>
      <w:r w:rsidR="00494BD3">
        <w:t xml:space="preserve">  </w:t>
      </w:r>
    </w:p>
  </w:footnote>
  <w:footnote w:id="9">
    <w:p w14:paraId="5E4E6953" w14:textId="3DDC69CA" w:rsidR="00F056F1" w:rsidRPr="00F056F1" w:rsidRDefault="00F056F1" w:rsidP="009C30EC">
      <w:pPr>
        <w:pStyle w:val="FootnoteText"/>
        <w:ind w:left="1440" w:right="710" w:hanging="720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83614B">
        <w:rPr>
          <w:lang w:val="sr-Cyrl-RS"/>
        </w:rPr>
        <w:t xml:space="preserve">            </w:t>
      </w:r>
      <w:r w:rsidRPr="00A54F50">
        <w:rPr>
          <w:lang w:val="sr-Cyrl-RS"/>
        </w:rPr>
        <w:t>Члан 6</w:t>
      </w:r>
      <w:r w:rsidR="00494BD3">
        <w:rPr>
          <w:lang w:val="sr-Cyrl-RS"/>
        </w:rPr>
        <w:t>.</w:t>
      </w:r>
      <w:r w:rsidRPr="00A54F50">
        <w:rPr>
          <w:lang w:val="sr-Cyrl-RS"/>
        </w:rPr>
        <w:t xml:space="preserve"> ажурираног Нацрта закона (члан 5</w:t>
      </w:r>
      <w:r w:rsidR="00494BD3">
        <w:rPr>
          <w:lang w:val="sr-Cyrl-RS"/>
        </w:rPr>
        <w:t>.</w:t>
      </w:r>
      <w:r w:rsidRPr="00A54F50">
        <w:rPr>
          <w:lang w:val="sr-Cyrl-RS"/>
        </w:rPr>
        <w:t xml:space="preserve"> у претходној верзији Нацрта закона) којим се утврђује мандат</w:t>
      </w:r>
      <w:r>
        <w:rPr>
          <w:lang w:val="sr-Cyrl-RS"/>
        </w:rPr>
        <w:t xml:space="preserve"> </w:t>
      </w:r>
      <w:r w:rsidRPr="00A54F50">
        <w:rPr>
          <w:lang w:val="sr-Cyrl-RS"/>
        </w:rPr>
        <w:t>Комисије за ревизију, садржи нов</w:t>
      </w:r>
      <w:r w:rsidR="00494BD3">
        <w:rPr>
          <w:lang w:val="sr-Cyrl-RS"/>
        </w:rPr>
        <w:t>и израз</w:t>
      </w:r>
      <w:r w:rsidRPr="00A54F50">
        <w:rPr>
          <w:lang w:val="sr-Cyrl-RS"/>
        </w:rPr>
        <w:t xml:space="preserve"> „прва ревизија“ у складу са чињеницом да </w:t>
      </w:r>
      <w:r w:rsidR="00494BD3">
        <w:rPr>
          <w:lang w:val="sr-Cyrl-RS"/>
        </w:rPr>
        <w:t>ћ</w:t>
      </w:r>
      <w:r w:rsidRPr="00A54F50">
        <w:rPr>
          <w:lang w:val="sr-Cyrl-RS"/>
        </w:rPr>
        <w:t>е РИК</w:t>
      </w:r>
      <w:r w:rsidR="00494BD3">
        <w:rPr>
          <w:lang w:val="sr-Cyrl-RS"/>
        </w:rPr>
        <w:t>-у</w:t>
      </w:r>
      <w:r w:rsidRPr="00A54F50">
        <w:rPr>
          <w:lang w:val="sr-Cyrl-RS"/>
        </w:rPr>
        <w:t xml:space="preserve"> према ажурираном Нацрту закона </w:t>
      </w:r>
      <w:r w:rsidR="00494BD3">
        <w:rPr>
          <w:lang w:val="sr-Cyrl-RS"/>
        </w:rPr>
        <w:t>бити поверен мандат</w:t>
      </w:r>
      <w:r w:rsidRPr="00A54F50">
        <w:rPr>
          <w:lang w:val="sr-Cyrl-RS"/>
        </w:rPr>
        <w:t xml:space="preserve"> да спроводи (периодичне) ревизије након спроведене прве ревизије</w:t>
      </w:r>
      <w:r>
        <w:rPr>
          <w:lang w:val="sr-Cyrl-RS"/>
        </w:rPr>
        <w:t>.</w:t>
      </w:r>
    </w:p>
  </w:footnote>
  <w:footnote w:id="10">
    <w:p w14:paraId="07DD4949" w14:textId="71188BF0" w:rsidR="00F056F1" w:rsidRPr="00F056F1" w:rsidRDefault="00F056F1" w:rsidP="009C30EC">
      <w:pPr>
        <w:pStyle w:val="FootnoteText"/>
        <w:ind w:left="1440" w:right="710" w:hanging="720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83614B">
        <w:rPr>
          <w:lang w:val="sr-Cyrl-RS"/>
        </w:rPr>
        <w:t xml:space="preserve">           </w:t>
      </w:r>
      <w:r w:rsidRPr="00A54F50">
        <w:rPr>
          <w:lang w:val="sr-Cyrl-RS"/>
        </w:rPr>
        <w:t>У свом Мишљењу из марта 2025.</w:t>
      </w:r>
      <w:r w:rsidR="00494BD3">
        <w:rPr>
          <w:lang w:val="sr-Cyrl-RS"/>
        </w:rPr>
        <w:t xml:space="preserve"> године</w:t>
      </w:r>
      <w:r w:rsidRPr="00A54F50">
        <w:rPr>
          <w:lang w:val="sr-Cyrl-RS"/>
        </w:rPr>
        <w:t xml:space="preserve"> ОДХИР је позитивно оценио одредбе у другом Нацрту закона који је </w:t>
      </w:r>
      <w:r w:rsidR="00494BD3">
        <w:rPr>
          <w:lang w:val="sr-Cyrl-RS"/>
        </w:rPr>
        <w:t>дала</w:t>
      </w:r>
      <w:r w:rsidRPr="00A54F50">
        <w:rPr>
          <w:lang w:val="sr-Cyrl-RS"/>
        </w:rPr>
        <w:t xml:space="preserve"> ЦРТА, који</w:t>
      </w:r>
      <w:r w:rsidR="00494BD3">
        <w:rPr>
          <w:lang w:val="sr-Cyrl-RS"/>
        </w:rPr>
        <w:t>ма</w:t>
      </w:r>
      <w:r w:rsidRPr="00A54F50">
        <w:rPr>
          <w:lang w:val="sr-Cyrl-RS"/>
        </w:rPr>
        <w:t xml:space="preserve"> је предлож</w:t>
      </w:r>
      <w:r w:rsidR="00494BD3">
        <w:rPr>
          <w:lang w:val="sr-Cyrl-RS"/>
        </w:rPr>
        <w:t>ено</w:t>
      </w:r>
      <w:r w:rsidRPr="00A54F50">
        <w:rPr>
          <w:lang w:val="sr-Cyrl-RS"/>
        </w:rPr>
        <w:t xml:space="preserve"> успостављање сталне комисије за ревизију како би се повећала одрживост процеса </w:t>
      </w:r>
      <w:r w:rsidR="00494BD3">
        <w:rPr>
          <w:lang w:val="sr-Cyrl-RS"/>
        </w:rPr>
        <w:t>вођења</w:t>
      </w:r>
      <w:r w:rsidRPr="00A54F50">
        <w:rPr>
          <w:lang w:val="sr-Cyrl-RS"/>
        </w:rPr>
        <w:t xml:space="preserve"> </w:t>
      </w:r>
      <w:r w:rsidR="00494BD3">
        <w:rPr>
          <w:lang w:val="sr-Cyrl-RS"/>
        </w:rPr>
        <w:t>ЈБС</w:t>
      </w:r>
      <w:r w:rsidRPr="00A54F50">
        <w:rPr>
          <w:lang w:val="sr-Cyrl-RS"/>
        </w:rPr>
        <w:t xml:space="preserve"> и одржа</w:t>
      </w:r>
      <w:r w:rsidR="009C30EC">
        <w:rPr>
          <w:lang w:val="sr-Cyrl-RS"/>
        </w:rPr>
        <w:t>ва</w:t>
      </w:r>
      <w:r w:rsidRPr="00A54F50">
        <w:rPr>
          <w:lang w:val="sr-Cyrl-RS"/>
        </w:rPr>
        <w:t xml:space="preserve">ло поверење јавности </w:t>
      </w:r>
      <w:r w:rsidR="009C30EC">
        <w:rPr>
          <w:lang w:val="sr-Cyrl-RS"/>
        </w:rPr>
        <w:t>после</w:t>
      </w:r>
      <w:r w:rsidRPr="00A54F50">
        <w:rPr>
          <w:lang w:val="sr-Cyrl-RS"/>
        </w:rPr>
        <w:t xml:space="preserve"> једнократне независне ревизије</w:t>
      </w:r>
      <w:r w:rsidR="009C30EC">
        <w:rPr>
          <w:lang w:val="sr-Cyrl-RS"/>
        </w:rPr>
        <w:t>.</w:t>
      </w:r>
    </w:p>
  </w:footnote>
  <w:footnote w:id="11">
    <w:p w14:paraId="314D0818" w14:textId="06A712BD" w:rsidR="00F056F1" w:rsidRPr="00F056F1" w:rsidRDefault="00F056F1" w:rsidP="009C30EC">
      <w:pPr>
        <w:pStyle w:val="FootnoteText"/>
        <w:ind w:left="1440" w:right="710" w:hanging="720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83614B">
        <w:rPr>
          <w:lang w:val="sr-Cyrl-RS"/>
        </w:rPr>
        <w:t xml:space="preserve">           </w:t>
      </w:r>
      <w:r w:rsidRPr="00A54F50">
        <w:rPr>
          <w:lang w:val="sr-Cyrl-RS"/>
        </w:rPr>
        <w:t>Препорука 9</w:t>
      </w:r>
      <w:r w:rsidR="00494BD3">
        <w:rPr>
          <w:lang w:val="sr-Cyrl-RS"/>
        </w:rPr>
        <w:t>.</w:t>
      </w:r>
      <w:r w:rsidR="009C30EC">
        <w:rPr>
          <w:lang w:val="sr-Cyrl-RS"/>
        </w:rPr>
        <w:t xml:space="preserve"> из</w:t>
      </w:r>
      <w:r w:rsidRPr="00A54F50">
        <w:rPr>
          <w:lang w:val="sr-Cyrl-RS"/>
        </w:rPr>
        <w:t xml:space="preserve"> Коначног извештаја ОДИХР-а за 2023. о посматрањ</w:t>
      </w:r>
      <w:r w:rsidR="009C30EC">
        <w:rPr>
          <w:lang w:val="sr-Cyrl-RS"/>
        </w:rPr>
        <w:t>у</w:t>
      </w:r>
      <w:r w:rsidRPr="00A54F50">
        <w:rPr>
          <w:lang w:val="sr-Cyrl-RS"/>
        </w:rPr>
        <w:t xml:space="preserve"> избора у Републици Србији каже: „Да би се постигао одржив напредак у </w:t>
      </w:r>
      <w:r w:rsidR="009C30EC">
        <w:rPr>
          <w:lang w:val="sr-Cyrl-RS"/>
        </w:rPr>
        <w:t>њеним</w:t>
      </w:r>
      <w:r w:rsidRPr="00A54F50">
        <w:rPr>
          <w:lang w:val="sr-Cyrl-RS"/>
        </w:rPr>
        <w:t xml:space="preserve"> активностима, као што су израда упутстава, обука изборних службеника, унапређење кампања за едукацију бирача и повећање приступачности изборног процеса, Републичка изборна комисија треба да има довољне административне и техничке капацитете, укључујући сопствен</w:t>
      </w:r>
      <w:r w:rsidR="009C30EC">
        <w:rPr>
          <w:lang w:val="sr-Cyrl-RS"/>
        </w:rPr>
        <w:t>и</w:t>
      </w:r>
      <w:r w:rsidRPr="00A54F50">
        <w:rPr>
          <w:lang w:val="sr-Cyrl-RS"/>
        </w:rPr>
        <w:t xml:space="preserve"> сталн</w:t>
      </w:r>
      <w:r w:rsidR="009C30EC">
        <w:rPr>
          <w:lang w:val="sr-Cyrl-RS"/>
        </w:rPr>
        <w:t>и секретаријат</w:t>
      </w:r>
      <w:r w:rsidRPr="00A54F50">
        <w:rPr>
          <w:lang w:val="sr-Cyrl-RS"/>
        </w:rPr>
        <w:t>.”</w:t>
      </w:r>
    </w:p>
  </w:footnote>
  <w:footnote w:id="12">
    <w:p w14:paraId="51962F9B" w14:textId="168A0136" w:rsidR="00D47CF2" w:rsidRDefault="00D47CF2" w:rsidP="007C0C70">
      <w:pPr>
        <w:pStyle w:val="FootnoteText"/>
        <w:ind w:left="1440" w:right="710" w:hanging="720"/>
        <w:jc w:val="both"/>
      </w:pPr>
      <w:r>
        <w:rPr>
          <w:rStyle w:val="FootnoteReference"/>
        </w:rPr>
        <w:footnoteRef/>
      </w:r>
      <w:r>
        <w:t xml:space="preserve">          </w:t>
      </w:r>
      <w:r w:rsidRPr="00A54F50">
        <w:rPr>
          <w:lang w:val="sr-Cyrl-RS"/>
        </w:rPr>
        <w:t xml:space="preserve">Члан 4. ажурираног Нацрта закона предвиђа само да ће ревизије вршити РИК без икаквог </w:t>
      </w:r>
      <w:r w:rsidR="007C0C70">
        <w:rPr>
          <w:lang w:val="sr-Cyrl-RS"/>
        </w:rPr>
        <w:t>одређивања</w:t>
      </w:r>
      <w:r w:rsidRPr="00A54F50">
        <w:rPr>
          <w:lang w:val="sr-Cyrl-RS"/>
        </w:rPr>
        <w:t xml:space="preserve"> њихов</w:t>
      </w:r>
      <w:r w:rsidR="007C0C70">
        <w:rPr>
          <w:lang w:val="sr-Cyrl-RS"/>
        </w:rPr>
        <w:t>е</w:t>
      </w:r>
      <w:r w:rsidRPr="00A54F50">
        <w:rPr>
          <w:lang w:val="sr-Cyrl-RS"/>
        </w:rPr>
        <w:t xml:space="preserve"> учесталост</w:t>
      </w:r>
      <w:r w:rsidR="007C0C70">
        <w:rPr>
          <w:lang w:val="sr-Cyrl-RS"/>
        </w:rPr>
        <w:t>и.</w:t>
      </w:r>
    </w:p>
  </w:footnote>
  <w:footnote w:id="13">
    <w:p w14:paraId="36DB535D" w14:textId="1D6841B9" w:rsidR="00D47CF2" w:rsidRDefault="00D47CF2" w:rsidP="00D47CF2">
      <w:pPr>
        <w:pStyle w:val="FootnoteText"/>
        <w:ind w:left="1526" w:hanging="720"/>
      </w:pPr>
      <w:r>
        <w:rPr>
          <w:rStyle w:val="FootnoteReference"/>
        </w:rPr>
        <w:footnoteRef/>
      </w:r>
      <w:r>
        <w:t xml:space="preserve">          </w:t>
      </w:r>
      <w:r w:rsidRPr="00A54F50">
        <w:rPr>
          <w:lang w:val="sr-Cyrl-RS"/>
        </w:rPr>
        <w:t xml:space="preserve">Предложени члан 22б (13) предвиђа да РИК/Комисија за ревизију </w:t>
      </w:r>
      <w:r w:rsidR="00E578A8">
        <w:rPr>
          <w:lang w:val="sr-Cyrl-RS"/>
        </w:rPr>
        <w:t>иницирају</w:t>
      </w:r>
      <w:r w:rsidRPr="00A54F50">
        <w:rPr>
          <w:lang w:val="sr-Cyrl-RS"/>
        </w:rPr>
        <w:t xml:space="preserve"> кампању едукације бирача о ажурирању бирачког списка, али не укључује едукацију бирача о процесу </w:t>
      </w:r>
      <w:r w:rsidR="00E578A8">
        <w:rPr>
          <w:lang w:val="sr-Cyrl-RS"/>
        </w:rPr>
        <w:t>уписа</w:t>
      </w:r>
      <w:r w:rsidRPr="00A54F50">
        <w:rPr>
          <w:lang w:val="sr-Cyrl-RS"/>
        </w:rPr>
        <w:t xml:space="preserve"> бирача као предмет ревизије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4A5B2" w14:textId="77777777" w:rsidR="006E6361" w:rsidRDefault="006E6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EF6BE" w14:textId="77777777" w:rsidR="006E6361" w:rsidRDefault="006E63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DA1E" w14:textId="77777777" w:rsidR="006E6361" w:rsidRDefault="006E636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168C8" w14:textId="77777777" w:rsidR="00843802" w:rsidRDefault="00CE581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7424" behindDoc="1" locked="0" layoutInCell="1" allowOverlap="1" wp14:anchorId="6244AC4B" wp14:editId="7F92B327">
              <wp:simplePos x="0" y="0"/>
              <wp:positionH relativeFrom="page">
                <wp:posOffset>1241552</wp:posOffset>
              </wp:positionH>
              <wp:positionV relativeFrom="page">
                <wp:posOffset>447707</wp:posOffset>
              </wp:positionV>
              <wp:extent cx="5078095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80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284B3" w14:textId="15164EF1" w:rsidR="00843802" w:rsidRDefault="00843802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4AC4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5" type="#_x0000_t202" style="position:absolute;margin-left:97.75pt;margin-top:35.25pt;width:399.85pt;height:12.1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" filled="f" stroked="f">
              <v:path arrowok="t"/>
              <v:textbox inset="0,0,0,0">
                <w:txbxContent>
                  <w:p w14:paraId="51B284B3" w14:textId="15164EF1" w:rsidR="00843802" w:rsidRDefault="00843802">
                    <w:pPr>
                      <w:spacing w:before="14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8DA"/>
    <w:multiLevelType w:val="hybridMultilevel"/>
    <w:tmpl w:val="5E10FB0E"/>
    <w:lvl w:ilvl="0" w:tplc="EB666296">
      <w:start w:val="1"/>
      <w:numFmt w:val="decimal"/>
      <w:lvlText w:val="%1)"/>
      <w:lvlJc w:val="left"/>
      <w:pPr>
        <w:ind w:left="213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9CBC7B3C">
      <w:numFmt w:val="bullet"/>
      <w:lvlText w:val="•"/>
      <w:lvlJc w:val="left"/>
      <w:pPr>
        <w:ind w:left="3031" w:hanging="260"/>
      </w:pPr>
      <w:rPr>
        <w:rFonts w:hint="default"/>
        <w:lang w:val="en-US" w:eastAsia="en-US" w:bidi="ar-SA"/>
      </w:rPr>
    </w:lvl>
    <w:lvl w:ilvl="2" w:tplc="0D12EA64">
      <w:numFmt w:val="bullet"/>
      <w:lvlText w:val="•"/>
      <w:lvlJc w:val="left"/>
      <w:pPr>
        <w:ind w:left="3923" w:hanging="260"/>
      </w:pPr>
      <w:rPr>
        <w:rFonts w:hint="default"/>
        <w:lang w:val="en-US" w:eastAsia="en-US" w:bidi="ar-SA"/>
      </w:rPr>
    </w:lvl>
    <w:lvl w:ilvl="3" w:tplc="986E2520">
      <w:numFmt w:val="bullet"/>
      <w:lvlText w:val="•"/>
      <w:lvlJc w:val="left"/>
      <w:pPr>
        <w:ind w:left="4815" w:hanging="260"/>
      </w:pPr>
      <w:rPr>
        <w:rFonts w:hint="default"/>
        <w:lang w:val="en-US" w:eastAsia="en-US" w:bidi="ar-SA"/>
      </w:rPr>
    </w:lvl>
    <w:lvl w:ilvl="4" w:tplc="9C7EF5A2">
      <w:numFmt w:val="bullet"/>
      <w:lvlText w:val="•"/>
      <w:lvlJc w:val="left"/>
      <w:pPr>
        <w:ind w:left="5707" w:hanging="260"/>
      </w:pPr>
      <w:rPr>
        <w:rFonts w:hint="default"/>
        <w:lang w:val="en-US" w:eastAsia="en-US" w:bidi="ar-SA"/>
      </w:rPr>
    </w:lvl>
    <w:lvl w:ilvl="5" w:tplc="ECFE7580">
      <w:numFmt w:val="bullet"/>
      <w:lvlText w:val="•"/>
      <w:lvlJc w:val="left"/>
      <w:pPr>
        <w:ind w:left="6599" w:hanging="260"/>
      </w:pPr>
      <w:rPr>
        <w:rFonts w:hint="default"/>
        <w:lang w:val="en-US" w:eastAsia="en-US" w:bidi="ar-SA"/>
      </w:rPr>
    </w:lvl>
    <w:lvl w:ilvl="6" w:tplc="4B5EDC52">
      <w:numFmt w:val="bullet"/>
      <w:lvlText w:val="•"/>
      <w:lvlJc w:val="left"/>
      <w:pPr>
        <w:ind w:left="7491" w:hanging="260"/>
      </w:pPr>
      <w:rPr>
        <w:rFonts w:hint="default"/>
        <w:lang w:val="en-US" w:eastAsia="en-US" w:bidi="ar-SA"/>
      </w:rPr>
    </w:lvl>
    <w:lvl w:ilvl="7" w:tplc="DCF8C262">
      <w:numFmt w:val="bullet"/>
      <w:lvlText w:val="•"/>
      <w:lvlJc w:val="left"/>
      <w:pPr>
        <w:ind w:left="8383" w:hanging="260"/>
      </w:pPr>
      <w:rPr>
        <w:rFonts w:hint="default"/>
        <w:lang w:val="en-US" w:eastAsia="en-US" w:bidi="ar-SA"/>
      </w:rPr>
    </w:lvl>
    <w:lvl w:ilvl="8" w:tplc="B7C81EB8">
      <w:numFmt w:val="bullet"/>
      <w:lvlText w:val="•"/>
      <w:lvlJc w:val="left"/>
      <w:pPr>
        <w:ind w:left="9275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17485E21"/>
    <w:multiLevelType w:val="hybridMultilevel"/>
    <w:tmpl w:val="D758C93C"/>
    <w:lvl w:ilvl="0" w:tplc="8FEAA480">
      <w:start w:val="1"/>
      <w:numFmt w:val="decimal"/>
      <w:lvlText w:val="%1)"/>
      <w:lvlJc w:val="left"/>
      <w:pPr>
        <w:ind w:left="213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EA99C2">
      <w:numFmt w:val="bullet"/>
      <w:lvlText w:val="•"/>
      <w:lvlJc w:val="left"/>
      <w:pPr>
        <w:ind w:left="3031" w:hanging="260"/>
      </w:pPr>
      <w:rPr>
        <w:rFonts w:hint="default"/>
        <w:lang w:val="en-US" w:eastAsia="en-US" w:bidi="ar-SA"/>
      </w:rPr>
    </w:lvl>
    <w:lvl w:ilvl="2" w:tplc="2848AE28">
      <w:numFmt w:val="bullet"/>
      <w:lvlText w:val="•"/>
      <w:lvlJc w:val="left"/>
      <w:pPr>
        <w:ind w:left="3923" w:hanging="260"/>
      </w:pPr>
      <w:rPr>
        <w:rFonts w:hint="default"/>
        <w:lang w:val="en-US" w:eastAsia="en-US" w:bidi="ar-SA"/>
      </w:rPr>
    </w:lvl>
    <w:lvl w:ilvl="3" w:tplc="E10067D8">
      <w:numFmt w:val="bullet"/>
      <w:lvlText w:val="•"/>
      <w:lvlJc w:val="left"/>
      <w:pPr>
        <w:ind w:left="4815" w:hanging="260"/>
      </w:pPr>
      <w:rPr>
        <w:rFonts w:hint="default"/>
        <w:lang w:val="en-US" w:eastAsia="en-US" w:bidi="ar-SA"/>
      </w:rPr>
    </w:lvl>
    <w:lvl w:ilvl="4" w:tplc="470AAD6E">
      <w:numFmt w:val="bullet"/>
      <w:lvlText w:val="•"/>
      <w:lvlJc w:val="left"/>
      <w:pPr>
        <w:ind w:left="5707" w:hanging="260"/>
      </w:pPr>
      <w:rPr>
        <w:rFonts w:hint="default"/>
        <w:lang w:val="en-US" w:eastAsia="en-US" w:bidi="ar-SA"/>
      </w:rPr>
    </w:lvl>
    <w:lvl w:ilvl="5" w:tplc="E748710E">
      <w:numFmt w:val="bullet"/>
      <w:lvlText w:val="•"/>
      <w:lvlJc w:val="left"/>
      <w:pPr>
        <w:ind w:left="6599" w:hanging="260"/>
      </w:pPr>
      <w:rPr>
        <w:rFonts w:hint="default"/>
        <w:lang w:val="en-US" w:eastAsia="en-US" w:bidi="ar-SA"/>
      </w:rPr>
    </w:lvl>
    <w:lvl w:ilvl="6" w:tplc="9236C154">
      <w:numFmt w:val="bullet"/>
      <w:lvlText w:val="•"/>
      <w:lvlJc w:val="left"/>
      <w:pPr>
        <w:ind w:left="7491" w:hanging="260"/>
      </w:pPr>
      <w:rPr>
        <w:rFonts w:hint="default"/>
        <w:lang w:val="en-US" w:eastAsia="en-US" w:bidi="ar-SA"/>
      </w:rPr>
    </w:lvl>
    <w:lvl w:ilvl="7" w:tplc="5B1CD1CC">
      <w:numFmt w:val="bullet"/>
      <w:lvlText w:val="•"/>
      <w:lvlJc w:val="left"/>
      <w:pPr>
        <w:ind w:left="8383" w:hanging="260"/>
      </w:pPr>
      <w:rPr>
        <w:rFonts w:hint="default"/>
        <w:lang w:val="en-US" w:eastAsia="en-US" w:bidi="ar-SA"/>
      </w:rPr>
    </w:lvl>
    <w:lvl w:ilvl="8" w:tplc="185E0FB8">
      <w:numFmt w:val="bullet"/>
      <w:lvlText w:val="•"/>
      <w:lvlJc w:val="left"/>
      <w:pPr>
        <w:ind w:left="9275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2B1F6E60"/>
    <w:multiLevelType w:val="hybridMultilevel"/>
    <w:tmpl w:val="485684CE"/>
    <w:lvl w:ilvl="0" w:tplc="59BE69D0">
      <w:start w:val="1"/>
      <w:numFmt w:val="decimal"/>
      <w:lvlText w:val="%1)"/>
      <w:lvlJc w:val="left"/>
      <w:pPr>
        <w:ind w:left="213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8A74A2">
      <w:numFmt w:val="bullet"/>
      <w:lvlText w:val="•"/>
      <w:lvlJc w:val="left"/>
      <w:pPr>
        <w:ind w:left="3031" w:hanging="260"/>
      </w:pPr>
      <w:rPr>
        <w:rFonts w:hint="default"/>
        <w:lang w:val="en-US" w:eastAsia="en-US" w:bidi="ar-SA"/>
      </w:rPr>
    </w:lvl>
    <w:lvl w:ilvl="2" w:tplc="0000682C">
      <w:numFmt w:val="bullet"/>
      <w:lvlText w:val="•"/>
      <w:lvlJc w:val="left"/>
      <w:pPr>
        <w:ind w:left="3923" w:hanging="260"/>
      </w:pPr>
      <w:rPr>
        <w:rFonts w:hint="default"/>
        <w:lang w:val="en-US" w:eastAsia="en-US" w:bidi="ar-SA"/>
      </w:rPr>
    </w:lvl>
    <w:lvl w:ilvl="3" w:tplc="C8225CB6">
      <w:numFmt w:val="bullet"/>
      <w:lvlText w:val="•"/>
      <w:lvlJc w:val="left"/>
      <w:pPr>
        <w:ind w:left="4815" w:hanging="260"/>
      </w:pPr>
      <w:rPr>
        <w:rFonts w:hint="default"/>
        <w:lang w:val="en-US" w:eastAsia="en-US" w:bidi="ar-SA"/>
      </w:rPr>
    </w:lvl>
    <w:lvl w:ilvl="4" w:tplc="361C4440">
      <w:numFmt w:val="bullet"/>
      <w:lvlText w:val="•"/>
      <w:lvlJc w:val="left"/>
      <w:pPr>
        <w:ind w:left="5707" w:hanging="260"/>
      </w:pPr>
      <w:rPr>
        <w:rFonts w:hint="default"/>
        <w:lang w:val="en-US" w:eastAsia="en-US" w:bidi="ar-SA"/>
      </w:rPr>
    </w:lvl>
    <w:lvl w:ilvl="5" w:tplc="DB200586">
      <w:numFmt w:val="bullet"/>
      <w:lvlText w:val="•"/>
      <w:lvlJc w:val="left"/>
      <w:pPr>
        <w:ind w:left="6599" w:hanging="260"/>
      </w:pPr>
      <w:rPr>
        <w:rFonts w:hint="default"/>
        <w:lang w:val="en-US" w:eastAsia="en-US" w:bidi="ar-SA"/>
      </w:rPr>
    </w:lvl>
    <w:lvl w:ilvl="6" w:tplc="3E2A6428">
      <w:numFmt w:val="bullet"/>
      <w:lvlText w:val="•"/>
      <w:lvlJc w:val="left"/>
      <w:pPr>
        <w:ind w:left="7491" w:hanging="260"/>
      </w:pPr>
      <w:rPr>
        <w:rFonts w:hint="default"/>
        <w:lang w:val="en-US" w:eastAsia="en-US" w:bidi="ar-SA"/>
      </w:rPr>
    </w:lvl>
    <w:lvl w:ilvl="7" w:tplc="CF347690">
      <w:numFmt w:val="bullet"/>
      <w:lvlText w:val="•"/>
      <w:lvlJc w:val="left"/>
      <w:pPr>
        <w:ind w:left="8383" w:hanging="260"/>
      </w:pPr>
      <w:rPr>
        <w:rFonts w:hint="default"/>
        <w:lang w:val="en-US" w:eastAsia="en-US" w:bidi="ar-SA"/>
      </w:rPr>
    </w:lvl>
    <w:lvl w:ilvl="8" w:tplc="FAD8DDA8">
      <w:numFmt w:val="bullet"/>
      <w:lvlText w:val="•"/>
      <w:lvlJc w:val="left"/>
      <w:pPr>
        <w:ind w:left="9275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2CAA2DC4"/>
    <w:multiLevelType w:val="hybridMultilevel"/>
    <w:tmpl w:val="0BE8052A"/>
    <w:lvl w:ilvl="0" w:tplc="7166B1A4">
      <w:start w:val="1"/>
      <w:numFmt w:val="decimal"/>
      <w:lvlText w:val="%1."/>
      <w:lvlJc w:val="left"/>
      <w:pPr>
        <w:ind w:left="1427" w:hanging="720"/>
      </w:pPr>
      <w:rPr>
        <w:rFonts w:hint="default"/>
        <w:spacing w:val="0"/>
        <w:w w:val="100"/>
        <w:lang w:val="en-US" w:eastAsia="en-US" w:bidi="ar-SA"/>
      </w:rPr>
    </w:lvl>
    <w:lvl w:ilvl="1" w:tplc="5AF85C4C">
      <w:numFmt w:val="bullet"/>
      <w:lvlText w:val="•"/>
      <w:lvlJc w:val="left"/>
      <w:pPr>
        <w:ind w:left="2383" w:hanging="720"/>
      </w:pPr>
      <w:rPr>
        <w:rFonts w:hint="default"/>
        <w:lang w:val="en-US" w:eastAsia="en-US" w:bidi="ar-SA"/>
      </w:rPr>
    </w:lvl>
    <w:lvl w:ilvl="2" w:tplc="4A6EE0E0">
      <w:numFmt w:val="bullet"/>
      <w:lvlText w:val="•"/>
      <w:lvlJc w:val="left"/>
      <w:pPr>
        <w:ind w:left="3347" w:hanging="720"/>
      </w:pPr>
      <w:rPr>
        <w:rFonts w:hint="default"/>
        <w:lang w:val="en-US" w:eastAsia="en-US" w:bidi="ar-SA"/>
      </w:rPr>
    </w:lvl>
    <w:lvl w:ilvl="3" w:tplc="A670C174">
      <w:numFmt w:val="bullet"/>
      <w:lvlText w:val="•"/>
      <w:lvlJc w:val="left"/>
      <w:pPr>
        <w:ind w:left="4311" w:hanging="720"/>
      </w:pPr>
      <w:rPr>
        <w:rFonts w:hint="default"/>
        <w:lang w:val="en-US" w:eastAsia="en-US" w:bidi="ar-SA"/>
      </w:rPr>
    </w:lvl>
    <w:lvl w:ilvl="4" w:tplc="1256DB62">
      <w:numFmt w:val="bullet"/>
      <w:lvlText w:val="•"/>
      <w:lvlJc w:val="left"/>
      <w:pPr>
        <w:ind w:left="5275" w:hanging="720"/>
      </w:pPr>
      <w:rPr>
        <w:rFonts w:hint="default"/>
        <w:lang w:val="en-US" w:eastAsia="en-US" w:bidi="ar-SA"/>
      </w:rPr>
    </w:lvl>
    <w:lvl w:ilvl="5" w:tplc="E9120E92">
      <w:numFmt w:val="bullet"/>
      <w:lvlText w:val="•"/>
      <w:lvlJc w:val="left"/>
      <w:pPr>
        <w:ind w:left="6239" w:hanging="720"/>
      </w:pPr>
      <w:rPr>
        <w:rFonts w:hint="default"/>
        <w:lang w:val="en-US" w:eastAsia="en-US" w:bidi="ar-SA"/>
      </w:rPr>
    </w:lvl>
    <w:lvl w:ilvl="6" w:tplc="71345946">
      <w:numFmt w:val="bullet"/>
      <w:lvlText w:val="•"/>
      <w:lvlJc w:val="left"/>
      <w:pPr>
        <w:ind w:left="7203" w:hanging="720"/>
      </w:pPr>
      <w:rPr>
        <w:rFonts w:hint="default"/>
        <w:lang w:val="en-US" w:eastAsia="en-US" w:bidi="ar-SA"/>
      </w:rPr>
    </w:lvl>
    <w:lvl w:ilvl="7" w:tplc="3294E254">
      <w:numFmt w:val="bullet"/>
      <w:lvlText w:val="•"/>
      <w:lvlJc w:val="left"/>
      <w:pPr>
        <w:ind w:left="8167" w:hanging="720"/>
      </w:pPr>
      <w:rPr>
        <w:rFonts w:hint="default"/>
        <w:lang w:val="en-US" w:eastAsia="en-US" w:bidi="ar-SA"/>
      </w:rPr>
    </w:lvl>
    <w:lvl w:ilvl="8" w:tplc="65A858C4">
      <w:numFmt w:val="bullet"/>
      <w:lvlText w:val="•"/>
      <w:lvlJc w:val="left"/>
      <w:pPr>
        <w:ind w:left="9131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324F3D70"/>
    <w:multiLevelType w:val="hybridMultilevel"/>
    <w:tmpl w:val="6B7839B8"/>
    <w:lvl w:ilvl="0" w:tplc="B7061420">
      <w:start w:val="1"/>
      <w:numFmt w:val="upperLetter"/>
      <w:lvlText w:val="%1."/>
      <w:lvlJc w:val="left"/>
      <w:pPr>
        <w:ind w:left="1699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83AE31F0">
      <w:start w:val="1"/>
      <w:numFmt w:val="decimal"/>
      <w:lvlText w:val="%2."/>
      <w:lvlJc w:val="left"/>
      <w:pPr>
        <w:ind w:left="1415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5595"/>
        <w:spacing w:val="0"/>
        <w:w w:val="100"/>
        <w:sz w:val="24"/>
        <w:szCs w:val="24"/>
        <w:lang w:val="en-US" w:eastAsia="en-US" w:bidi="ar-SA"/>
      </w:rPr>
    </w:lvl>
    <w:lvl w:ilvl="2" w:tplc="2152A5FC">
      <w:numFmt w:val="bullet"/>
      <w:lvlText w:val="•"/>
      <w:lvlJc w:val="left"/>
      <w:pPr>
        <w:ind w:left="2739" w:hanging="281"/>
      </w:pPr>
      <w:rPr>
        <w:rFonts w:hint="default"/>
        <w:lang w:val="en-US" w:eastAsia="en-US" w:bidi="ar-SA"/>
      </w:rPr>
    </w:lvl>
    <w:lvl w:ilvl="3" w:tplc="49D6F222">
      <w:numFmt w:val="bullet"/>
      <w:lvlText w:val="•"/>
      <w:lvlJc w:val="left"/>
      <w:pPr>
        <w:ind w:left="3779" w:hanging="281"/>
      </w:pPr>
      <w:rPr>
        <w:rFonts w:hint="default"/>
        <w:lang w:val="en-US" w:eastAsia="en-US" w:bidi="ar-SA"/>
      </w:rPr>
    </w:lvl>
    <w:lvl w:ilvl="4" w:tplc="B4E2CF82">
      <w:numFmt w:val="bullet"/>
      <w:lvlText w:val="•"/>
      <w:lvlJc w:val="left"/>
      <w:pPr>
        <w:ind w:left="4819" w:hanging="281"/>
      </w:pPr>
      <w:rPr>
        <w:rFonts w:hint="default"/>
        <w:lang w:val="en-US" w:eastAsia="en-US" w:bidi="ar-SA"/>
      </w:rPr>
    </w:lvl>
    <w:lvl w:ilvl="5" w:tplc="2550AFEC">
      <w:numFmt w:val="bullet"/>
      <w:lvlText w:val="•"/>
      <w:lvlJc w:val="left"/>
      <w:pPr>
        <w:ind w:left="5859" w:hanging="281"/>
      </w:pPr>
      <w:rPr>
        <w:rFonts w:hint="default"/>
        <w:lang w:val="en-US" w:eastAsia="en-US" w:bidi="ar-SA"/>
      </w:rPr>
    </w:lvl>
    <w:lvl w:ilvl="6" w:tplc="7E9EE432">
      <w:numFmt w:val="bullet"/>
      <w:lvlText w:val="•"/>
      <w:lvlJc w:val="left"/>
      <w:pPr>
        <w:ind w:left="6899" w:hanging="281"/>
      </w:pPr>
      <w:rPr>
        <w:rFonts w:hint="default"/>
        <w:lang w:val="en-US" w:eastAsia="en-US" w:bidi="ar-SA"/>
      </w:rPr>
    </w:lvl>
    <w:lvl w:ilvl="7" w:tplc="F2704E2C">
      <w:numFmt w:val="bullet"/>
      <w:lvlText w:val="•"/>
      <w:lvlJc w:val="left"/>
      <w:pPr>
        <w:ind w:left="7939" w:hanging="281"/>
      </w:pPr>
      <w:rPr>
        <w:rFonts w:hint="default"/>
        <w:lang w:val="en-US" w:eastAsia="en-US" w:bidi="ar-SA"/>
      </w:rPr>
    </w:lvl>
    <w:lvl w:ilvl="8" w:tplc="7EB6A87E">
      <w:numFmt w:val="bullet"/>
      <w:lvlText w:val="•"/>
      <w:lvlJc w:val="left"/>
      <w:pPr>
        <w:ind w:left="8979" w:hanging="281"/>
      </w:pPr>
      <w:rPr>
        <w:rFonts w:hint="default"/>
        <w:lang w:val="en-US" w:eastAsia="en-US" w:bidi="ar-SA"/>
      </w:rPr>
    </w:lvl>
  </w:abstractNum>
  <w:abstractNum w:abstractNumId="5" w15:restartNumberingAfterBreak="0">
    <w:nsid w:val="383164E0"/>
    <w:multiLevelType w:val="hybridMultilevel"/>
    <w:tmpl w:val="66844602"/>
    <w:lvl w:ilvl="0" w:tplc="84065252">
      <w:start w:val="1"/>
      <w:numFmt w:val="decimal"/>
      <w:lvlText w:val="%1."/>
      <w:lvlJc w:val="left"/>
      <w:pPr>
        <w:ind w:left="925" w:hanging="360"/>
      </w:pPr>
      <w:rPr>
        <w:rFonts w:hint="default"/>
        <w:color w:val="005595"/>
      </w:rPr>
    </w:lvl>
    <w:lvl w:ilvl="1" w:tplc="04090019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6" w15:restartNumberingAfterBreak="0">
    <w:nsid w:val="452F5274"/>
    <w:multiLevelType w:val="hybridMultilevel"/>
    <w:tmpl w:val="088AD9C8"/>
    <w:lvl w:ilvl="0" w:tplc="5B9E366E">
      <w:start w:val="1"/>
      <w:numFmt w:val="decimal"/>
      <w:lvlText w:val="%1)"/>
      <w:lvlJc w:val="left"/>
      <w:pPr>
        <w:ind w:left="976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CAC80E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2" w:tplc="5A724B42">
      <w:numFmt w:val="bullet"/>
      <w:lvlText w:val="•"/>
      <w:lvlJc w:val="left"/>
      <w:pPr>
        <w:ind w:left="2761" w:hanging="269"/>
      </w:pPr>
      <w:rPr>
        <w:rFonts w:hint="default"/>
        <w:lang w:val="en-US" w:eastAsia="en-US" w:bidi="ar-SA"/>
      </w:rPr>
    </w:lvl>
    <w:lvl w:ilvl="3" w:tplc="B68CB8E2">
      <w:numFmt w:val="bullet"/>
      <w:lvlText w:val="•"/>
      <w:lvlJc w:val="left"/>
      <w:pPr>
        <w:ind w:left="3652" w:hanging="269"/>
      </w:pPr>
      <w:rPr>
        <w:rFonts w:hint="default"/>
        <w:lang w:val="en-US" w:eastAsia="en-US" w:bidi="ar-SA"/>
      </w:rPr>
    </w:lvl>
    <w:lvl w:ilvl="4" w:tplc="4FB64886">
      <w:numFmt w:val="bullet"/>
      <w:lvlText w:val="•"/>
      <w:lvlJc w:val="left"/>
      <w:pPr>
        <w:ind w:left="4543" w:hanging="269"/>
      </w:pPr>
      <w:rPr>
        <w:rFonts w:hint="default"/>
        <w:lang w:val="en-US" w:eastAsia="en-US" w:bidi="ar-SA"/>
      </w:rPr>
    </w:lvl>
    <w:lvl w:ilvl="5" w:tplc="A5E488B8">
      <w:numFmt w:val="bullet"/>
      <w:lvlText w:val="•"/>
      <w:lvlJc w:val="left"/>
      <w:pPr>
        <w:ind w:left="5433" w:hanging="269"/>
      </w:pPr>
      <w:rPr>
        <w:rFonts w:hint="default"/>
        <w:lang w:val="en-US" w:eastAsia="en-US" w:bidi="ar-SA"/>
      </w:rPr>
    </w:lvl>
    <w:lvl w:ilvl="6" w:tplc="94343622">
      <w:numFmt w:val="bullet"/>
      <w:lvlText w:val="•"/>
      <w:lvlJc w:val="left"/>
      <w:pPr>
        <w:ind w:left="6324" w:hanging="269"/>
      </w:pPr>
      <w:rPr>
        <w:rFonts w:hint="default"/>
        <w:lang w:val="en-US" w:eastAsia="en-US" w:bidi="ar-SA"/>
      </w:rPr>
    </w:lvl>
    <w:lvl w:ilvl="7" w:tplc="0CD8054A">
      <w:numFmt w:val="bullet"/>
      <w:lvlText w:val="•"/>
      <w:lvlJc w:val="left"/>
      <w:pPr>
        <w:ind w:left="7215" w:hanging="269"/>
      </w:pPr>
      <w:rPr>
        <w:rFonts w:hint="default"/>
        <w:lang w:val="en-US" w:eastAsia="en-US" w:bidi="ar-SA"/>
      </w:rPr>
    </w:lvl>
    <w:lvl w:ilvl="8" w:tplc="2174A436">
      <w:numFmt w:val="bullet"/>
      <w:lvlText w:val="•"/>
      <w:lvlJc w:val="left"/>
      <w:pPr>
        <w:ind w:left="8106" w:hanging="269"/>
      </w:pPr>
      <w:rPr>
        <w:rFonts w:hint="default"/>
        <w:lang w:val="en-US" w:eastAsia="en-US" w:bidi="ar-SA"/>
      </w:rPr>
    </w:lvl>
  </w:abstractNum>
  <w:abstractNum w:abstractNumId="7" w15:restartNumberingAfterBreak="0">
    <w:nsid w:val="491C6A88"/>
    <w:multiLevelType w:val="hybridMultilevel"/>
    <w:tmpl w:val="4894E560"/>
    <w:lvl w:ilvl="0" w:tplc="438A89DA">
      <w:start w:val="1"/>
      <w:numFmt w:val="decimal"/>
      <w:lvlText w:val="%1)"/>
      <w:lvlJc w:val="left"/>
      <w:pPr>
        <w:ind w:left="7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E701ADE">
      <w:start w:val="1"/>
      <w:numFmt w:val="decimal"/>
      <w:lvlText w:val="%2)"/>
      <w:lvlJc w:val="left"/>
      <w:pPr>
        <w:ind w:left="2126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FDEB766">
      <w:numFmt w:val="bullet"/>
      <w:lvlText w:val="•"/>
      <w:lvlJc w:val="left"/>
      <w:pPr>
        <w:ind w:left="2961" w:hanging="248"/>
      </w:pPr>
      <w:rPr>
        <w:rFonts w:hint="default"/>
        <w:lang w:val="en-US" w:eastAsia="en-US" w:bidi="ar-SA"/>
      </w:rPr>
    </w:lvl>
    <w:lvl w:ilvl="3" w:tplc="756E831C">
      <w:numFmt w:val="bullet"/>
      <w:lvlText w:val="•"/>
      <w:lvlJc w:val="left"/>
      <w:pPr>
        <w:ind w:left="3803" w:hanging="248"/>
      </w:pPr>
      <w:rPr>
        <w:rFonts w:hint="default"/>
        <w:lang w:val="en-US" w:eastAsia="en-US" w:bidi="ar-SA"/>
      </w:rPr>
    </w:lvl>
    <w:lvl w:ilvl="4" w:tplc="48B01748">
      <w:numFmt w:val="bullet"/>
      <w:lvlText w:val="•"/>
      <w:lvlJc w:val="left"/>
      <w:pPr>
        <w:ind w:left="4645" w:hanging="248"/>
      </w:pPr>
      <w:rPr>
        <w:rFonts w:hint="default"/>
        <w:lang w:val="en-US" w:eastAsia="en-US" w:bidi="ar-SA"/>
      </w:rPr>
    </w:lvl>
    <w:lvl w:ilvl="5" w:tplc="98CE8164">
      <w:numFmt w:val="bullet"/>
      <w:lvlText w:val="•"/>
      <w:lvlJc w:val="left"/>
      <w:pPr>
        <w:ind w:left="5487" w:hanging="248"/>
      </w:pPr>
      <w:rPr>
        <w:rFonts w:hint="default"/>
        <w:lang w:val="en-US" w:eastAsia="en-US" w:bidi="ar-SA"/>
      </w:rPr>
    </w:lvl>
    <w:lvl w:ilvl="6" w:tplc="68F01CEE">
      <w:numFmt w:val="bullet"/>
      <w:lvlText w:val="•"/>
      <w:lvlJc w:val="left"/>
      <w:pPr>
        <w:ind w:left="6329" w:hanging="248"/>
      </w:pPr>
      <w:rPr>
        <w:rFonts w:hint="default"/>
        <w:lang w:val="en-US" w:eastAsia="en-US" w:bidi="ar-SA"/>
      </w:rPr>
    </w:lvl>
    <w:lvl w:ilvl="7" w:tplc="4F22214C">
      <w:numFmt w:val="bullet"/>
      <w:lvlText w:val="•"/>
      <w:lvlJc w:val="left"/>
      <w:pPr>
        <w:ind w:left="7171" w:hanging="248"/>
      </w:pPr>
      <w:rPr>
        <w:rFonts w:hint="default"/>
        <w:lang w:val="en-US" w:eastAsia="en-US" w:bidi="ar-SA"/>
      </w:rPr>
    </w:lvl>
    <w:lvl w:ilvl="8" w:tplc="AEE66324">
      <w:numFmt w:val="bullet"/>
      <w:lvlText w:val="•"/>
      <w:lvlJc w:val="left"/>
      <w:pPr>
        <w:ind w:left="8013" w:hanging="248"/>
      </w:pPr>
      <w:rPr>
        <w:rFonts w:hint="default"/>
        <w:lang w:val="en-US" w:eastAsia="en-US" w:bidi="ar-SA"/>
      </w:rPr>
    </w:lvl>
  </w:abstractNum>
  <w:abstractNum w:abstractNumId="8" w15:restartNumberingAfterBreak="0">
    <w:nsid w:val="59183CF9"/>
    <w:multiLevelType w:val="hybridMultilevel"/>
    <w:tmpl w:val="3D80B4C6"/>
    <w:lvl w:ilvl="0" w:tplc="0409000F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E87058"/>
    <w:multiLevelType w:val="hybridMultilevel"/>
    <w:tmpl w:val="72EE779E"/>
    <w:lvl w:ilvl="0" w:tplc="55365A38">
      <w:start w:val="1"/>
      <w:numFmt w:val="decimal"/>
      <w:lvlText w:val="%1)"/>
      <w:lvlJc w:val="left"/>
      <w:pPr>
        <w:ind w:left="454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E8CBA4">
      <w:numFmt w:val="bullet"/>
      <w:lvlText w:val="•"/>
      <w:lvlJc w:val="left"/>
      <w:pPr>
        <w:ind w:left="1343" w:hanging="344"/>
      </w:pPr>
      <w:rPr>
        <w:rFonts w:hint="default"/>
        <w:lang w:val="en-US" w:eastAsia="en-US" w:bidi="ar-SA"/>
      </w:rPr>
    </w:lvl>
    <w:lvl w:ilvl="2" w:tplc="F6584D1C">
      <w:numFmt w:val="bullet"/>
      <w:lvlText w:val="•"/>
      <w:lvlJc w:val="left"/>
      <w:pPr>
        <w:ind w:left="2226" w:hanging="344"/>
      </w:pPr>
      <w:rPr>
        <w:rFonts w:hint="default"/>
        <w:lang w:val="en-US" w:eastAsia="en-US" w:bidi="ar-SA"/>
      </w:rPr>
    </w:lvl>
    <w:lvl w:ilvl="3" w:tplc="A328A11E">
      <w:numFmt w:val="bullet"/>
      <w:lvlText w:val="•"/>
      <w:lvlJc w:val="left"/>
      <w:pPr>
        <w:ind w:left="3109" w:hanging="344"/>
      </w:pPr>
      <w:rPr>
        <w:rFonts w:hint="default"/>
        <w:lang w:val="en-US" w:eastAsia="en-US" w:bidi="ar-SA"/>
      </w:rPr>
    </w:lvl>
    <w:lvl w:ilvl="4" w:tplc="72861E10">
      <w:numFmt w:val="bullet"/>
      <w:lvlText w:val="•"/>
      <w:lvlJc w:val="left"/>
      <w:pPr>
        <w:ind w:left="3992" w:hanging="344"/>
      </w:pPr>
      <w:rPr>
        <w:rFonts w:hint="default"/>
        <w:lang w:val="en-US" w:eastAsia="en-US" w:bidi="ar-SA"/>
      </w:rPr>
    </w:lvl>
    <w:lvl w:ilvl="5" w:tplc="BB621C36">
      <w:numFmt w:val="bullet"/>
      <w:lvlText w:val="•"/>
      <w:lvlJc w:val="left"/>
      <w:pPr>
        <w:ind w:left="4875" w:hanging="344"/>
      </w:pPr>
      <w:rPr>
        <w:rFonts w:hint="default"/>
        <w:lang w:val="en-US" w:eastAsia="en-US" w:bidi="ar-SA"/>
      </w:rPr>
    </w:lvl>
    <w:lvl w:ilvl="6" w:tplc="B998803E">
      <w:numFmt w:val="bullet"/>
      <w:lvlText w:val="•"/>
      <w:lvlJc w:val="left"/>
      <w:pPr>
        <w:ind w:left="5758" w:hanging="344"/>
      </w:pPr>
      <w:rPr>
        <w:rFonts w:hint="default"/>
        <w:lang w:val="en-US" w:eastAsia="en-US" w:bidi="ar-SA"/>
      </w:rPr>
    </w:lvl>
    <w:lvl w:ilvl="7" w:tplc="56B6181E">
      <w:numFmt w:val="bullet"/>
      <w:lvlText w:val="•"/>
      <w:lvlJc w:val="left"/>
      <w:pPr>
        <w:ind w:left="6641" w:hanging="344"/>
      </w:pPr>
      <w:rPr>
        <w:rFonts w:hint="default"/>
        <w:lang w:val="en-US" w:eastAsia="en-US" w:bidi="ar-SA"/>
      </w:rPr>
    </w:lvl>
    <w:lvl w:ilvl="8" w:tplc="93FA7D46">
      <w:numFmt w:val="bullet"/>
      <w:lvlText w:val="•"/>
      <w:lvlJc w:val="left"/>
      <w:pPr>
        <w:ind w:left="7524" w:hanging="344"/>
      </w:pPr>
      <w:rPr>
        <w:rFonts w:hint="default"/>
        <w:lang w:val="en-US" w:eastAsia="en-US" w:bidi="ar-SA"/>
      </w:rPr>
    </w:lvl>
  </w:abstractNum>
  <w:abstractNum w:abstractNumId="10" w15:restartNumberingAfterBreak="0">
    <w:nsid w:val="5FF16607"/>
    <w:multiLevelType w:val="hybridMultilevel"/>
    <w:tmpl w:val="F04EA310"/>
    <w:lvl w:ilvl="0" w:tplc="268C3D90">
      <w:start w:val="1"/>
      <w:numFmt w:val="decimal"/>
      <w:lvlText w:val="%1."/>
      <w:lvlJc w:val="left"/>
      <w:pPr>
        <w:ind w:left="142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5AFDAE">
      <w:start w:val="1"/>
      <w:numFmt w:val="decimal"/>
      <w:lvlText w:val="%2)"/>
      <w:lvlJc w:val="left"/>
      <w:pPr>
        <w:ind w:left="70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8E4AA04">
      <w:numFmt w:val="bullet"/>
      <w:lvlText w:val="•"/>
      <w:lvlJc w:val="left"/>
      <w:pPr>
        <w:ind w:left="2490" w:hanging="262"/>
      </w:pPr>
      <w:rPr>
        <w:rFonts w:hint="default"/>
        <w:lang w:val="en-US" w:eastAsia="en-US" w:bidi="ar-SA"/>
      </w:rPr>
    </w:lvl>
    <w:lvl w:ilvl="3" w:tplc="DDA8031E">
      <w:numFmt w:val="bullet"/>
      <w:lvlText w:val="•"/>
      <w:lvlJc w:val="left"/>
      <w:pPr>
        <w:ind w:left="3561" w:hanging="262"/>
      </w:pPr>
      <w:rPr>
        <w:rFonts w:hint="default"/>
        <w:lang w:val="en-US" w:eastAsia="en-US" w:bidi="ar-SA"/>
      </w:rPr>
    </w:lvl>
    <w:lvl w:ilvl="4" w:tplc="0E088A32">
      <w:numFmt w:val="bullet"/>
      <w:lvlText w:val="•"/>
      <w:lvlJc w:val="left"/>
      <w:pPr>
        <w:ind w:left="4632" w:hanging="262"/>
      </w:pPr>
      <w:rPr>
        <w:rFonts w:hint="default"/>
        <w:lang w:val="en-US" w:eastAsia="en-US" w:bidi="ar-SA"/>
      </w:rPr>
    </w:lvl>
    <w:lvl w:ilvl="5" w:tplc="22E2A2AA">
      <w:numFmt w:val="bullet"/>
      <w:lvlText w:val="•"/>
      <w:lvlJc w:val="left"/>
      <w:pPr>
        <w:ind w:left="5703" w:hanging="262"/>
      </w:pPr>
      <w:rPr>
        <w:rFonts w:hint="default"/>
        <w:lang w:val="en-US" w:eastAsia="en-US" w:bidi="ar-SA"/>
      </w:rPr>
    </w:lvl>
    <w:lvl w:ilvl="6" w:tplc="F5F69A86">
      <w:numFmt w:val="bullet"/>
      <w:lvlText w:val="•"/>
      <w:lvlJc w:val="left"/>
      <w:pPr>
        <w:ind w:left="6774" w:hanging="262"/>
      </w:pPr>
      <w:rPr>
        <w:rFonts w:hint="default"/>
        <w:lang w:val="en-US" w:eastAsia="en-US" w:bidi="ar-SA"/>
      </w:rPr>
    </w:lvl>
    <w:lvl w:ilvl="7" w:tplc="765077F6">
      <w:numFmt w:val="bullet"/>
      <w:lvlText w:val="•"/>
      <w:lvlJc w:val="left"/>
      <w:pPr>
        <w:ind w:left="7845" w:hanging="262"/>
      </w:pPr>
      <w:rPr>
        <w:rFonts w:hint="default"/>
        <w:lang w:val="en-US" w:eastAsia="en-US" w:bidi="ar-SA"/>
      </w:rPr>
    </w:lvl>
    <w:lvl w:ilvl="8" w:tplc="7A42C0F2">
      <w:numFmt w:val="bullet"/>
      <w:lvlText w:val="•"/>
      <w:lvlJc w:val="left"/>
      <w:pPr>
        <w:ind w:left="8916" w:hanging="262"/>
      </w:pPr>
      <w:rPr>
        <w:rFonts w:hint="default"/>
        <w:lang w:val="en-US" w:eastAsia="en-US" w:bidi="ar-SA"/>
      </w:rPr>
    </w:lvl>
  </w:abstractNum>
  <w:abstractNum w:abstractNumId="11" w15:restartNumberingAfterBreak="0">
    <w:nsid w:val="602112A9"/>
    <w:multiLevelType w:val="hybridMultilevel"/>
    <w:tmpl w:val="488CB566"/>
    <w:lvl w:ilvl="0" w:tplc="BC1E5ECC">
      <w:start w:val="1"/>
      <w:numFmt w:val="upperRoman"/>
      <w:lvlText w:val="%1."/>
      <w:lvlJc w:val="left"/>
      <w:pPr>
        <w:ind w:left="157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5595"/>
        <w:spacing w:val="0"/>
        <w:w w:val="100"/>
        <w:sz w:val="28"/>
        <w:szCs w:val="28"/>
        <w:lang w:val="en-US" w:eastAsia="en-US" w:bidi="ar-SA"/>
      </w:rPr>
    </w:lvl>
    <w:lvl w:ilvl="1" w:tplc="1EF02D86">
      <w:numFmt w:val="bullet"/>
      <w:lvlText w:val="•"/>
      <w:lvlJc w:val="left"/>
      <w:pPr>
        <w:ind w:left="2478" w:hanging="708"/>
      </w:pPr>
      <w:rPr>
        <w:rFonts w:hint="default"/>
        <w:lang w:val="en-US" w:eastAsia="en-US" w:bidi="ar-SA"/>
      </w:rPr>
    </w:lvl>
    <w:lvl w:ilvl="2" w:tplc="B62E9376">
      <w:numFmt w:val="bullet"/>
      <w:lvlText w:val="•"/>
      <w:lvlJc w:val="left"/>
      <w:pPr>
        <w:ind w:left="3388" w:hanging="708"/>
      </w:pPr>
      <w:rPr>
        <w:rFonts w:hint="default"/>
        <w:lang w:val="en-US" w:eastAsia="en-US" w:bidi="ar-SA"/>
      </w:rPr>
    </w:lvl>
    <w:lvl w:ilvl="3" w:tplc="8D88203C">
      <w:numFmt w:val="bullet"/>
      <w:lvlText w:val="•"/>
      <w:lvlJc w:val="left"/>
      <w:pPr>
        <w:ind w:left="4298" w:hanging="708"/>
      </w:pPr>
      <w:rPr>
        <w:rFonts w:hint="default"/>
        <w:lang w:val="en-US" w:eastAsia="en-US" w:bidi="ar-SA"/>
      </w:rPr>
    </w:lvl>
    <w:lvl w:ilvl="4" w:tplc="21E4808A">
      <w:numFmt w:val="bullet"/>
      <w:lvlText w:val="•"/>
      <w:lvlJc w:val="left"/>
      <w:pPr>
        <w:ind w:left="5208" w:hanging="708"/>
      </w:pPr>
      <w:rPr>
        <w:rFonts w:hint="default"/>
        <w:lang w:val="en-US" w:eastAsia="en-US" w:bidi="ar-SA"/>
      </w:rPr>
    </w:lvl>
    <w:lvl w:ilvl="5" w:tplc="9BB297DE">
      <w:numFmt w:val="bullet"/>
      <w:lvlText w:val="•"/>
      <w:lvlJc w:val="left"/>
      <w:pPr>
        <w:ind w:left="6119" w:hanging="708"/>
      </w:pPr>
      <w:rPr>
        <w:rFonts w:hint="default"/>
        <w:lang w:val="en-US" w:eastAsia="en-US" w:bidi="ar-SA"/>
      </w:rPr>
    </w:lvl>
    <w:lvl w:ilvl="6" w:tplc="8D627B08">
      <w:numFmt w:val="bullet"/>
      <w:lvlText w:val="•"/>
      <w:lvlJc w:val="left"/>
      <w:pPr>
        <w:ind w:left="7029" w:hanging="708"/>
      </w:pPr>
      <w:rPr>
        <w:rFonts w:hint="default"/>
        <w:lang w:val="en-US" w:eastAsia="en-US" w:bidi="ar-SA"/>
      </w:rPr>
    </w:lvl>
    <w:lvl w:ilvl="7" w:tplc="4F7CD874">
      <w:numFmt w:val="bullet"/>
      <w:lvlText w:val="•"/>
      <w:lvlJc w:val="left"/>
      <w:pPr>
        <w:ind w:left="7939" w:hanging="708"/>
      </w:pPr>
      <w:rPr>
        <w:rFonts w:hint="default"/>
        <w:lang w:val="en-US" w:eastAsia="en-US" w:bidi="ar-SA"/>
      </w:rPr>
    </w:lvl>
    <w:lvl w:ilvl="8" w:tplc="5FEC36B6">
      <w:numFmt w:val="bullet"/>
      <w:lvlText w:val="•"/>
      <w:lvlJc w:val="left"/>
      <w:pPr>
        <w:ind w:left="8849" w:hanging="708"/>
      </w:pPr>
      <w:rPr>
        <w:rFonts w:hint="default"/>
        <w:lang w:val="en-US" w:eastAsia="en-US" w:bidi="ar-SA"/>
      </w:rPr>
    </w:lvl>
  </w:abstractNum>
  <w:abstractNum w:abstractNumId="12" w15:restartNumberingAfterBreak="0">
    <w:nsid w:val="654D7BFC"/>
    <w:multiLevelType w:val="hybridMultilevel"/>
    <w:tmpl w:val="AB88F174"/>
    <w:lvl w:ilvl="0" w:tplc="86F2770C">
      <w:start w:val="1"/>
      <w:numFmt w:val="decimal"/>
      <w:lvlText w:val="%1)"/>
      <w:lvlJc w:val="left"/>
      <w:pPr>
        <w:ind w:left="70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D2609C">
      <w:numFmt w:val="bullet"/>
      <w:lvlText w:val="•"/>
      <w:lvlJc w:val="left"/>
      <w:pPr>
        <w:ind w:left="1735" w:hanging="252"/>
      </w:pPr>
      <w:rPr>
        <w:rFonts w:hint="default"/>
        <w:lang w:val="en-US" w:eastAsia="en-US" w:bidi="ar-SA"/>
      </w:rPr>
    </w:lvl>
    <w:lvl w:ilvl="2" w:tplc="BF522F14">
      <w:numFmt w:val="bullet"/>
      <w:lvlText w:val="•"/>
      <w:lvlJc w:val="left"/>
      <w:pPr>
        <w:ind w:left="2771" w:hanging="252"/>
      </w:pPr>
      <w:rPr>
        <w:rFonts w:hint="default"/>
        <w:lang w:val="en-US" w:eastAsia="en-US" w:bidi="ar-SA"/>
      </w:rPr>
    </w:lvl>
    <w:lvl w:ilvl="3" w:tplc="7CA424BE">
      <w:numFmt w:val="bullet"/>
      <w:lvlText w:val="•"/>
      <w:lvlJc w:val="left"/>
      <w:pPr>
        <w:ind w:left="3807" w:hanging="252"/>
      </w:pPr>
      <w:rPr>
        <w:rFonts w:hint="default"/>
        <w:lang w:val="en-US" w:eastAsia="en-US" w:bidi="ar-SA"/>
      </w:rPr>
    </w:lvl>
    <w:lvl w:ilvl="4" w:tplc="DC0666A6">
      <w:numFmt w:val="bullet"/>
      <w:lvlText w:val="•"/>
      <w:lvlJc w:val="left"/>
      <w:pPr>
        <w:ind w:left="4843" w:hanging="252"/>
      </w:pPr>
      <w:rPr>
        <w:rFonts w:hint="default"/>
        <w:lang w:val="en-US" w:eastAsia="en-US" w:bidi="ar-SA"/>
      </w:rPr>
    </w:lvl>
    <w:lvl w:ilvl="5" w:tplc="53CE9BC8">
      <w:numFmt w:val="bullet"/>
      <w:lvlText w:val="•"/>
      <w:lvlJc w:val="left"/>
      <w:pPr>
        <w:ind w:left="5879" w:hanging="252"/>
      </w:pPr>
      <w:rPr>
        <w:rFonts w:hint="default"/>
        <w:lang w:val="en-US" w:eastAsia="en-US" w:bidi="ar-SA"/>
      </w:rPr>
    </w:lvl>
    <w:lvl w:ilvl="6" w:tplc="E4CCE1F8">
      <w:numFmt w:val="bullet"/>
      <w:lvlText w:val="•"/>
      <w:lvlJc w:val="left"/>
      <w:pPr>
        <w:ind w:left="6915" w:hanging="252"/>
      </w:pPr>
      <w:rPr>
        <w:rFonts w:hint="default"/>
        <w:lang w:val="en-US" w:eastAsia="en-US" w:bidi="ar-SA"/>
      </w:rPr>
    </w:lvl>
    <w:lvl w:ilvl="7" w:tplc="74C074B4">
      <w:numFmt w:val="bullet"/>
      <w:lvlText w:val="•"/>
      <w:lvlJc w:val="left"/>
      <w:pPr>
        <w:ind w:left="7951" w:hanging="252"/>
      </w:pPr>
      <w:rPr>
        <w:rFonts w:hint="default"/>
        <w:lang w:val="en-US" w:eastAsia="en-US" w:bidi="ar-SA"/>
      </w:rPr>
    </w:lvl>
    <w:lvl w:ilvl="8" w:tplc="77EAE2A4">
      <w:numFmt w:val="bullet"/>
      <w:lvlText w:val="•"/>
      <w:lvlJc w:val="left"/>
      <w:pPr>
        <w:ind w:left="8987" w:hanging="252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12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02"/>
    <w:rsid w:val="00044173"/>
    <w:rsid w:val="000D1065"/>
    <w:rsid w:val="000E153F"/>
    <w:rsid w:val="000F5228"/>
    <w:rsid w:val="000F6B1C"/>
    <w:rsid w:val="00103DCB"/>
    <w:rsid w:val="001306FC"/>
    <w:rsid w:val="00196E82"/>
    <w:rsid w:val="001A1485"/>
    <w:rsid w:val="001B2B19"/>
    <w:rsid w:val="00215062"/>
    <w:rsid w:val="002204F6"/>
    <w:rsid w:val="002356A7"/>
    <w:rsid w:val="002371ED"/>
    <w:rsid w:val="00253AC1"/>
    <w:rsid w:val="00274FC4"/>
    <w:rsid w:val="00302845"/>
    <w:rsid w:val="00323DF4"/>
    <w:rsid w:val="00333569"/>
    <w:rsid w:val="00347149"/>
    <w:rsid w:val="003A4369"/>
    <w:rsid w:val="00416536"/>
    <w:rsid w:val="004307AE"/>
    <w:rsid w:val="0043300B"/>
    <w:rsid w:val="00436691"/>
    <w:rsid w:val="00467341"/>
    <w:rsid w:val="00494BD3"/>
    <w:rsid w:val="00496C2B"/>
    <w:rsid w:val="004B3AD9"/>
    <w:rsid w:val="004C5A9A"/>
    <w:rsid w:val="004F3242"/>
    <w:rsid w:val="00592883"/>
    <w:rsid w:val="005940A4"/>
    <w:rsid w:val="00597F8A"/>
    <w:rsid w:val="005B05BF"/>
    <w:rsid w:val="00643784"/>
    <w:rsid w:val="00665689"/>
    <w:rsid w:val="006B1AFE"/>
    <w:rsid w:val="006E6361"/>
    <w:rsid w:val="00710E27"/>
    <w:rsid w:val="00711DF9"/>
    <w:rsid w:val="007120CA"/>
    <w:rsid w:val="00741B2F"/>
    <w:rsid w:val="007478C2"/>
    <w:rsid w:val="00750CC0"/>
    <w:rsid w:val="00754E8F"/>
    <w:rsid w:val="00784BD7"/>
    <w:rsid w:val="007C0B51"/>
    <w:rsid w:val="007C0C70"/>
    <w:rsid w:val="007D03A5"/>
    <w:rsid w:val="007D43F0"/>
    <w:rsid w:val="0083614B"/>
    <w:rsid w:val="00843802"/>
    <w:rsid w:val="008623B3"/>
    <w:rsid w:val="008663EA"/>
    <w:rsid w:val="008923D1"/>
    <w:rsid w:val="008A23D2"/>
    <w:rsid w:val="008E24D7"/>
    <w:rsid w:val="008E5988"/>
    <w:rsid w:val="009010ED"/>
    <w:rsid w:val="00916AF3"/>
    <w:rsid w:val="009C30EC"/>
    <w:rsid w:val="009C62B4"/>
    <w:rsid w:val="009D37BF"/>
    <w:rsid w:val="00A52A27"/>
    <w:rsid w:val="00A54F50"/>
    <w:rsid w:val="00A710D8"/>
    <w:rsid w:val="00A80CB1"/>
    <w:rsid w:val="00A938F4"/>
    <w:rsid w:val="00AA59BD"/>
    <w:rsid w:val="00AA7F80"/>
    <w:rsid w:val="00AC3896"/>
    <w:rsid w:val="00AF022F"/>
    <w:rsid w:val="00B01881"/>
    <w:rsid w:val="00B278A5"/>
    <w:rsid w:val="00B30A30"/>
    <w:rsid w:val="00B775CA"/>
    <w:rsid w:val="00BC070A"/>
    <w:rsid w:val="00BD1E94"/>
    <w:rsid w:val="00C031CC"/>
    <w:rsid w:val="00C11E44"/>
    <w:rsid w:val="00C15B4D"/>
    <w:rsid w:val="00C20558"/>
    <w:rsid w:val="00C5540C"/>
    <w:rsid w:val="00C70D49"/>
    <w:rsid w:val="00CA3C94"/>
    <w:rsid w:val="00CC13E8"/>
    <w:rsid w:val="00CE52DE"/>
    <w:rsid w:val="00CE5810"/>
    <w:rsid w:val="00D24D16"/>
    <w:rsid w:val="00D47CF2"/>
    <w:rsid w:val="00E578A8"/>
    <w:rsid w:val="00E92B16"/>
    <w:rsid w:val="00F032FF"/>
    <w:rsid w:val="00F03D2D"/>
    <w:rsid w:val="00F056F1"/>
    <w:rsid w:val="00F16B85"/>
    <w:rsid w:val="00F2710F"/>
    <w:rsid w:val="00F51976"/>
    <w:rsid w:val="00F54351"/>
    <w:rsid w:val="00F66F1A"/>
    <w:rsid w:val="00F74E45"/>
    <w:rsid w:val="00F75D6B"/>
    <w:rsid w:val="00F7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A300D"/>
  <w15:docId w15:val="{731D68EA-47B6-4F10-AA6B-843E7C1D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27" w:right="707" w:hanging="72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0"/>
      <w:ind w:left="105" w:right="99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415" w:right="705" w:hanging="281"/>
      <w:jc w:val="both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pPr>
      <w:ind w:left="707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87" w:right="4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427" w:hanging="7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0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0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06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75D6B"/>
    <w:rPr>
      <w:i/>
      <w:iCs/>
    </w:rPr>
  </w:style>
  <w:style w:type="character" w:styleId="Hyperlink">
    <w:name w:val="Hyperlink"/>
    <w:basedOn w:val="DefaultParagraphFont"/>
    <w:uiPriority w:val="99"/>
    <w:unhideWhenUsed/>
    <w:rsid w:val="008623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8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3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8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egislationline.org/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sce.org/odihr/elections/serb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A2A37-6C6D-4DE6-A840-4B728AED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5866</Words>
  <Characters>33438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39226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dc:description/>
  <cp:lastModifiedBy>Nikola Pavić</cp:lastModifiedBy>
  <cp:revision>2</cp:revision>
  <dcterms:created xsi:type="dcterms:W3CDTF">2025-07-02T11:19:00Z</dcterms:created>
  <dcterms:modified xsi:type="dcterms:W3CDTF">2025-07-02T11:19:00Z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Acrobat PDFMaker 25 for Word</vt:lpwstr>
  </property>
  <property fmtid="{D5CDD505-2E9C-101B-9397-08002B2CF9AE}" pid="4" name="GrammarlyDocumentId">
    <vt:lpwstr>96b8537f-d572-45c3-816f-b0f8266aeabd</vt:lpwstr>
  </property>
  <property fmtid="{D5CDD505-2E9C-101B-9397-08002B2CF9AE}" pid="5" name="LastSaved">
    <vt:filetime>2025-06-02T00:00:00Z</vt:filetime>
  </property>
  <property fmtid="{D5CDD505-2E9C-101B-9397-08002B2CF9AE}" pid="6" name="Producer">
    <vt:lpwstr>Adobe PDF Library 25.1.250</vt:lpwstr>
  </property>
  <property fmtid="{D5CDD505-2E9C-101B-9397-08002B2CF9AE}" pid="7" name="SourceModified">
    <vt:lpwstr>D:20250602115111</vt:lpwstr>
  </property>
</Properties>
</file>